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786" w14:textId="77777777" w:rsidR="002B1316" w:rsidRPr="00FC5659" w:rsidRDefault="002B1316" w:rsidP="002B1316">
      <w:pPr>
        <w:rPr>
          <w:rFonts w:ascii="Arial" w:hAnsi="Arial" w:cs="Arial"/>
          <w:sz w:val="36"/>
          <w:szCs w:val="36"/>
        </w:rPr>
      </w:pPr>
      <w:r w:rsidRPr="00FC5659">
        <w:rPr>
          <w:rFonts w:ascii="Arial" w:hAnsi="Arial" w:cs="Arial"/>
          <w:sz w:val="36"/>
          <w:szCs w:val="36"/>
        </w:rPr>
        <w:t>Pay Gap Reports</w:t>
      </w:r>
    </w:p>
    <w:p w14:paraId="06229BE3" w14:textId="1B57DC85" w:rsidR="002B1316" w:rsidRPr="00FC5659" w:rsidRDefault="002B1316" w:rsidP="002B1316">
      <w:pPr>
        <w:spacing w:before="100" w:beforeAutospacing="1" w:after="100" w:afterAutospacing="1" w:line="240" w:lineRule="auto"/>
        <w:rPr>
          <w:rFonts w:ascii="Arial" w:hAnsi="Arial" w:cs="Arial"/>
        </w:rPr>
      </w:pPr>
      <w:r w:rsidRPr="00FC5659">
        <w:rPr>
          <w:rFonts w:ascii="Arial" w:eastAsia="Times New Roman" w:hAnsi="Arial" w:cs="Arial"/>
          <w:lang w:eastAsia="en-GB"/>
        </w:rPr>
        <w:t xml:space="preserve">As an employer with over 250 employees Treloar Trust is required by law to publish an annual gender pay gap report </w:t>
      </w:r>
      <w:r w:rsidRPr="00FC5659">
        <w:rPr>
          <w:rFonts w:ascii="Arial" w:hAnsi="Arial" w:cs="Arial"/>
        </w:rPr>
        <w:t>on our website and on the Government’s online reporting service by 4</w:t>
      </w:r>
      <w:r w:rsidRPr="00FC5659">
        <w:rPr>
          <w:rFonts w:ascii="Arial" w:hAnsi="Arial" w:cs="Arial"/>
          <w:vertAlign w:val="superscript"/>
        </w:rPr>
        <w:t>th</w:t>
      </w:r>
      <w:r w:rsidRPr="00FC5659">
        <w:rPr>
          <w:rFonts w:ascii="Arial" w:hAnsi="Arial" w:cs="Arial"/>
        </w:rPr>
        <w:t xml:space="preserve"> April 202</w:t>
      </w:r>
      <w:r w:rsidR="00D86005">
        <w:rPr>
          <w:rFonts w:ascii="Arial" w:hAnsi="Arial" w:cs="Arial"/>
        </w:rPr>
        <w:t>5</w:t>
      </w:r>
      <w:r w:rsidRPr="00FC5659">
        <w:rPr>
          <w:rFonts w:ascii="Arial" w:hAnsi="Arial" w:cs="Arial"/>
        </w:rPr>
        <w:t xml:space="preserve">.  </w:t>
      </w:r>
    </w:p>
    <w:p w14:paraId="78C2FC86" w14:textId="4097A0D6" w:rsidR="002B1316" w:rsidRPr="00FC5659" w:rsidRDefault="002B1316" w:rsidP="002B1316">
      <w:pPr>
        <w:spacing w:before="100" w:beforeAutospacing="1" w:after="100" w:afterAutospacing="1" w:line="240" w:lineRule="auto"/>
        <w:rPr>
          <w:rFonts w:ascii="Arial" w:hAnsi="Arial" w:cs="Arial"/>
        </w:rPr>
      </w:pPr>
      <w:r w:rsidRPr="00FC5659">
        <w:rPr>
          <w:rFonts w:ascii="Arial" w:hAnsi="Arial" w:cs="Arial"/>
        </w:rPr>
        <w:t xml:space="preserve">For its own purposes Treloar’s also monitors pay gap information for disability (declared) and ethnicity (white </w:t>
      </w:r>
      <w:r w:rsidRPr="00AE6C6F">
        <w:rPr>
          <w:rFonts w:ascii="Arial" w:hAnsi="Arial" w:cs="Arial"/>
        </w:rPr>
        <w:t xml:space="preserve">vs </w:t>
      </w:r>
      <w:r w:rsidR="00F74921" w:rsidRPr="00AE6C6F">
        <w:rPr>
          <w:rFonts w:ascii="Arial" w:hAnsi="Arial" w:cs="Arial"/>
        </w:rPr>
        <w:t>black</w:t>
      </w:r>
      <w:r w:rsidR="000F2C3F">
        <w:rPr>
          <w:rFonts w:ascii="Arial" w:hAnsi="Arial" w:cs="Arial"/>
        </w:rPr>
        <w:t xml:space="preserve">, </w:t>
      </w:r>
      <w:proofErr w:type="spellStart"/>
      <w:r w:rsidR="000F2C3F">
        <w:rPr>
          <w:rFonts w:ascii="Arial" w:hAnsi="Arial" w:cs="Arial"/>
        </w:rPr>
        <w:t>asian</w:t>
      </w:r>
      <w:proofErr w:type="spellEnd"/>
      <w:r w:rsidR="00F74921" w:rsidRPr="00AE6C6F">
        <w:rPr>
          <w:rFonts w:ascii="Arial" w:hAnsi="Arial" w:cs="Arial"/>
        </w:rPr>
        <w:t xml:space="preserve"> and </w:t>
      </w:r>
      <w:r w:rsidRPr="00AE6C6F">
        <w:rPr>
          <w:rFonts w:ascii="Arial" w:hAnsi="Arial" w:cs="Arial"/>
        </w:rPr>
        <w:t xml:space="preserve">minority </w:t>
      </w:r>
      <w:r w:rsidRPr="00FC5659">
        <w:rPr>
          <w:rFonts w:ascii="Arial" w:hAnsi="Arial" w:cs="Arial"/>
        </w:rPr>
        <w:t>ethnic).</w:t>
      </w:r>
    </w:p>
    <w:p w14:paraId="6B5E8F32" w14:textId="4A58B3A1" w:rsidR="002B1316" w:rsidRPr="00FC5659" w:rsidRDefault="002B1316" w:rsidP="002B1316">
      <w:pPr>
        <w:spacing w:before="100" w:beforeAutospacing="1" w:after="100" w:afterAutospacing="1" w:line="240" w:lineRule="auto"/>
        <w:rPr>
          <w:rFonts w:ascii="Arial" w:hAnsi="Arial" w:cs="Arial"/>
        </w:rPr>
      </w:pPr>
      <w:r w:rsidRPr="00FC5659">
        <w:rPr>
          <w:rFonts w:ascii="Arial" w:hAnsi="Arial" w:cs="Arial"/>
        </w:rPr>
        <w:t>The outcome of Treloar Trust’s 202</w:t>
      </w:r>
      <w:r w:rsidR="00D86005">
        <w:rPr>
          <w:rFonts w:ascii="Arial" w:hAnsi="Arial" w:cs="Arial"/>
        </w:rPr>
        <w:t>4</w:t>
      </w:r>
      <w:r w:rsidRPr="00FC5659">
        <w:rPr>
          <w:rFonts w:ascii="Arial" w:hAnsi="Arial" w:cs="Arial"/>
        </w:rPr>
        <w:t xml:space="preserve"> review is detailed below.</w:t>
      </w:r>
    </w:p>
    <w:p w14:paraId="25A86E5F" w14:textId="5DF6DF1C" w:rsidR="002B1316" w:rsidRPr="00FC5659" w:rsidRDefault="002B1316" w:rsidP="002B1316">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This is Treloar Trust’s report for the snapshot date in April 202</w:t>
      </w:r>
      <w:r w:rsidR="00D86005">
        <w:rPr>
          <w:rFonts w:ascii="Arial" w:eastAsia="Times New Roman" w:hAnsi="Arial" w:cs="Arial"/>
          <w:lang w:eastAsia="en-GB"/>
        </w:rPr>
        <w:t>4</w:t>
      </w:r>
      <w:r w:rsidRPr="00FC5659">
        <w:rPr>
          <w:rFonts w:ascii="Arial" w:eastAsia="Times New Roman" w:hAnsi="Arial" w:cs="Arial"/>
          <w:lang w:eastAsia="en-GB"/>
        </w:rPr>
        <w:t>.</w:t>
      </w:r>
    </w:p>
    <w:p w14:paraId="499EFA11" w14:textId="77777777" w:rsidR="002B1316" w:rsidRPr="00FC5659" w:rsidRDefault="002B1316" w:rsidP="002B1316">
      <w:pPr>
        <w:rPr>
          <w:rFonts w:ascii="Arial" w:hAnsi="Arial" w:cs="Arial"/>
        </w:rPr>
      </w:pPr>
      <w:r w:rsidRPr="00FC5659">
        <w:rPr>
          <w:rFonts w:ascii="Arial" w:hAnsi="Arial" w:cs="Arial"/>
        </w:rPr>
        <w:t xml:space="preserve">In accordance with the regulations, certain sets of data are required to be published, we have extended these as above. </w:t>
      </w:r>
    </w:p>
    <w:p w14:paraId="72EC49EB" w14:textId="77777777" w:rsidR="002B1316" w:rsidRPr="00FC5659" w:rsidRDefault="002B1316" w:rsidP="002B1316">
      <w:pPr>
        <w:pStyle w:val="ListParagraph"/>
        <w:numPr>
          <w:ilvl w:val="0"/>
          <w:numId w:val="1"/>
        </w:numPr>
        <w:spacing w:after="0" w:line="240" w:lineRule="auto"/>
        <w:rPr>
          <w:rFonts w:ascii="Arial" w:hAnsi="Arial" w:cs="Arial"/>
        </w:rPr>
      </w:pPr>
      <w:r w:rsidRPr="00FC5659">
        <w:rPr>
          <w:rFonts w:ascii="Arial" w:hAnsi="Arial" w:cs="Arial"/>
        </w:rPr>
        <w:t xml:space="preserve">Difference between the </w:t>
      </w:r>
      <w:r w:rsidRPr="00FC5659">
        <w:rPr>
          <w:rFonts w:ascii="Arial" w:hAnsi="Arial" w:cs="Arial"/>
          <w:b/>
        </w:rPr>
        <w:t>mean</w:t>
      </w:r>
      <w:r w:rsidRPr="00FC5659">
        <w:rPr>
          <w:rFonts w:ascii="Arial" w:hAnsi="Arial" w:cs="Arial"/>
        </w:rPr>
        <w:t xml:space="preserve"> hourly rate of pay between male and female employees, disabled and non-disabled and white and minority ethnic staff.</w:t>
      </w:r>
    </w:p>
    <w:p w14:paraId="6DDCC437" w14:textId="77777777" w:rsidR="002B1316" w:rsidRPr="00FC5659" w:rsidRDefault="002B1316" w:rsidP="002B1316">
      <w:pPr>
        <w:pStyle w:val="ListParagraph"/>
        <w:numPr>
          <w:ilvl w:val="0"/>
          <w:numId w:val="1"/>
        </w:numPr>
        <w:spacing w:after="0" w:line="240" w:lineRule="auto"/>
        <w:rPr>
          <w:rFonts w:ascii="Arial" w:hAnsi="Arial" w:cs="Arial"/>
        </w:rPr>
      </w:pPr>
      <w:r w:rsidRPr="00FC5659">
        <w:rPr>
          <w:rFonts w:ascii="Arial" w:hAnsi="Arial" w:cs="Arial"/>
        </w:rPr>
        <w:t xml:space="preserve">Difference between the </w:t>
      </w:r>
      <w:r w:rsidRPr="00FC5659">
        <w:rPr>
          <w:rFonts w:ascii="Arial" w:hAnsi="Arial" w:cs="Arial"/>
          <w:b/>
        </w:rPr>
        <w:t xml:space="preserve">median </w:t>
      </w:r>
      <w:r w:rsidRPr="00FC5659">
        <w:rPr>
          <w:rFonts w:ascii="Arial" w:hAnsi="Arial" w:cs="Arial"/>
        </w:rPr>
        <w:t>hourly rate of pay between these groups</w:t>
      </w:r>
    </w:p>
    <w:p w14:paraId="496057F5" w14:textId="77777777" w:rsidR="002B1316" w:rsidRPr="00FC5659" w:rsidRDefault="002B1316" w:rsidP="002B1316">
      <w:pPr>
        <w:pStyle w:val="ListParagraph"/>
        <w:numPr>
          <w:ilvl w:val="0"/>
          <w:numId w:val="1"/>
        </w:numPr>
        <w:spacing w:after="0" w:line="240" w:lineRule="auto"/>
        <w:rPr>
          <w:rFonts w:ascii="Arial" w:hAnsi="Arial" w:cs="Arial"/>
        </w:rPr>
      </w:pPr>
      <w:r w:rsidRPr="00FC5659">
        <w:rPr>
          <w:rFonts w:ascii="Arial" w:hAnsi="Arial" w:cs="Arial"/>
        </w:rPr>
        <w:t xml:space="preserve">Proportions of employees in </w:t>
      </w:r>
      <w:r w:rsidRPr="00FC5659">
        <w:rPr>
          <w:rFonts w:ascii="Arial" w:hAnsi="Arial" w:cs="Arial"/>
          <w:b/>
        </w:rPr>
        <w:t>four equal pay quartiles</w:t>
      </w:r>
    </w:p>
    <w:p w14:paraId="101B3417" w14:textId="77777777" w:rsidR="002B1316" w:rsidRPr="00FC5659" w:rsidRDefault="002B1316" w:rsidP="002B1316">
      <w:pPr>
        <w:spacing w:after="0" w:line="240" w:lineRule="auto"/>
        <w:rPr>
          <w:rFonts w:ascii="Arial" w:hAnsi="Arial" w:cs="Arial"/>
        </w:rPr>
      </w:pPr>
    </w:p>
    <w:p w14:paraId="7EAA00E9" w14:textId="77777777" w:rsidR="002B1316" w:rsidRPr="00FC5659" w:rsidRDefault="002B1316" w:rsidP="002B1316">
      <w:pPr>
        <w:spacing w:after="0" w:line="240" w:lineRule="auto"/>
        <w:rPr>
          <w:rFonts w:ascii="Arial" w:hAnsi="Arial" w:cs="Arial"/>
        </w:rPr>
      </w:pPr>
      <w:r w:rsidRPr="00FC5659">
        <w:rPr>
          <w:rFonts w:ascii="Arial" w:hAnsi="Arial" w:cs="Arial"/>
        </w:rPr>
        <w:t>Treloar Trust does not pay bonuses so the requirement to report on bonuses is not applicable.</w:t>
      </w:r>
    </w:p>
    <w:p w14:paraId="5AF1F170" w14:textId="77777777" w:rsidR="002B1316" w:rsidRPr="00FC5659" w:rsidRDefault="002B1316" w:rsidP="002B1316">
      <w:pPr>
        <w:spacing w:after="0" w:line="240" w:lineRule="auto"/>
        <w:rPr>
          <w:rFonts w:ascii="Arial" w:hAnsi="Arial" w:cs="Arial"/>
          <w:color w:val="FF0000"/>
        </w:rPr>
      </w:pPr>
    </w:p>
    <w:p w14:paraId="0EC84D34" w14:textId="77777777" w:rsidR="002B1316" w:rsidRPr="00FC5659" w:rsidRDefault="002B1316" w:rsidP="002B1316">
      <w:pPr>
        <w:spacing w:after="0" w:line="240" w:lineRule="auto"/>
        <w:rPr>
          <w:rFonts w:ascii="Arial" w:hAnsi="Arial" w:cs="Arial"/>
          <w:b/>
        </w:rPr>
      </w:pPr>
      <w:r w:rsidRPr="00FC5659">
        <w:rPr>
          <w:rFonts w:ascii="Arial" w:hAnsi="Arial" w:cs="Arial"/>
          <w:b/>
        </w:rPr>
        <w:t>Headline gender and other pay gap figures</w:t>
      </w:r>
    </w:p>
    <w:p w14:paraId="35466C81" w14:textId="77777777" w:rsidR="002B1316" w:rsidRPr="00FC5659" w:rsidRDefault="002B1316" w:rsidP="002B1316">
      <w:pPr>
        <w:spacing w:after="0" w:line="240" w:lineRule="auto"/>
        <w:rPr>
          <w:rFonts w:ascii="Arial" w:hAnsi="Arial" w:cs="Arial"/>
        </w:rPr>
      </w:pPr>
    </w:p>
    <w:p w14:paraId="69BD5592" w14:textId="77777777" w:rsidR="002B1316" w:rsidRPr="00FC5659" w:rsidRDefault="002B1316" w:rsidP="002B1316">
      <w:pPr>
        <w:spacing w:after="0" w:line="240" w:lineRule="auto"/>
        <w:rPr>
          <w:rFonts w:ascii="Arial" w:hAnsi="Arial" w:cs="Arial"/>
        </w:rPr>
      </w:pPr>
      <w:r w:rsidRPr="00FC5659">
        <w:rPr>
          <w:rFonts w:ascii="Arial" w:hAnsi="Arial" w:cs="Arial"/>
        </w:rPr>
        <w:t xml:space="preserve">The </w:t>
      </w:r>
      <w:r w:rsidRPr="00FC5659">
        <w:rPr>
          <w:rFonts w:ascii="Arial" w:hAnsi="Arial" w:cs="Arial"/>
          <w:b/>
        </w:rPr>
        <w:t>mean pay gap</w:t>
      </w:r>
      <w:r w:rsidRPr="00FC5659">
        <w:rPr>
          <w:rFonts w:ascii="Arial" w:hAnsi="Arial" w:cs="Arial"/>
        </w:rPr>
        <w:t xml:space="preserve"> is the difference between average hourly earnings of male and female employees.  </w:t>
      </w:r>
    </w:p>
    <w:p w14:paraId="1F88B189" w14:textId="77777777" w:rsidR="002B1316" w:rsidRPr="00FC5659" w:rsidRDefault="002B1316" w:rsidP="002B1316">
      <w:pPr>
        <w:spacing w:after="0" w:line="240" w:lineRule="auto"/>
        <w:rPr>
          <w:rFonts w:ascii="Arial" w:hAnsi="Arial" w:cs="Arial"/>
        </w:rPr>
      </w:pPr>
    </w:p>
    <w:p w14:paraId="5A0F9309" w14:textId="77777777" w:rsidR="002B1316" w:rsidRPr="00FC5659" w:rsidRDefault="002B1316" w:rsidP="002B1316">
      <w:pPr>
        <w:spacing w:after="0" w:line="240" w:lineRule="auto"/>
        <w:rPr>
          <w:rFonts w:ascii="Arial" w:hAnsi="Arial" w:cs="Arial"/>
        </w:rPr>
      </w:pPr>
      <w:r w:rsidRPr="00FC5659">
        <w:rPr>
          <w:rFonts w:ascii="Arial" w:hAnsi="Arial" w:cs="Arial"/>
        </w:rPr>
        <w:t xml:space="preserve">The </w:t>
      </w:r>
      <w:r w:rsidRPr="00FC5659">
        <w:rPr>
          <w:rFonts w:ascii="Arial" w:hAnsi="Arial" w:cs="Arial"/>
          <w:b/>
        </w:rPr>
        <w:t>median pay gap</w:t>
      </w:r>
      <w:r w:rsidRPr="00FC5659">
        <w:rPr>
          <w:rFonts w:ascii="Arial" w:hAnsi="Arial" w:cs="Arial"/>
        </w:rPr>
        <w:t xml:space="preserve"> is the difference between the midpoints in the ranges of hourly earnings of male and female employees. It takes all salaries in the sample, lines them up in order from the lowest to the highest, and picks the middle-most salary.</w:t>
      </w:r>
    </w:p>
    <w:p w14:paraId="228897F0" w14:textId="77777777" w:rsidR="002B1316" w:rsidRPr="00FC5659" w:rsidRDefault="002B1316" w:rsidP="002B1316">
      <w:pPr>
        <w:spacing w:after="0" w:line="240" w:lineRule="auto"/>
        <w:rPr>
          <w:rFonts w:ascii="Arial" w:hAnsi="Arial" w:cs="Arial"/>
          <w:color w:val="FF0000"/>
        </w:rPr>
      </w:pPr>
    </w:p>
    <w:p w14:paraId="6D399997" w14:textId="60CB2D04" w:rsidR="002B1316" w:rsidRPr="00AE6C6F" w:rsidRDefault="002B1316" w:rsidP="002B1316">
      <w:pPr>
        <w:spacing w:after="0" w:line="240" w:lineRule="auto"/>
        <w:rPr>
          <w:rFonts w:ascii="Arial" w:hAnsi="Arial" w:cs="Arial"/>
        </w:rPr>
      </w:pPr>
      <w:r w:rsidRPr="00FC5659">
        <w:rPr>
          <w:rFonts w:ascii="Arial" w:hAnsi="Arial" w:cs="Arial"/>
        </w:rPr>
        <w:t>Mean gender pay gap for Treloar Trust is</w:t>
      </w:r>
      <w:r w:rsidRPr="00AE6C6F">
        <w:rPr>
          <w:rFonts w:ascii="Arial" w:hAnsi="Arial" w:cs="Arial"/>
        </w:rPr>
        <w:t xml:space="preserve">: </w:t>
      </w:r>
      <w:r w:rsidR="009579DA" w:rsidRPr="00AE6C6F">
        <w:rPr>
          <w:rFonts w:ascii="Arial" w:hAnsi="Arial" w:cs="Arial"/>
        </w:rPr>
        <w:t>5.7</w:t>
      </w:r>
      <w:r w:rsidRPr="00AE6C6F">
        <w:rPr>
          <w:rFonts w:ascii="Arial" w:hAnsi="Arial" w:cs="Arial"/>
        </w:rPr>
        <w:t>% (202</w:t>
      </w:r>
      <w:r w:rsidR="00D86005" w:rsidRPr="00AE6C6F">
        <w:rPr>
          <w:rFonts w:ascii="Arial" w:hAnsi="Arial" w:cs="Arial"/>
        </w:rPr>
        <w:t>3</w:t>
      </w:r>
      <w:r w:rsidRPr="00AE6C6F">
        <w:rPr>
          <w:rFonts w:ascii="Arial" w:hAnsi="Arial" w:cs="Arial"/>
        </w:rPr>
        <w:t xml:space="preserve"> </w:t>
      </w:r>
      <w:r w:rsidR="00D86005" w:rsidRPr="00AE6C6F">
        <w:rPr>
          <w:rFonts w:ascii="Arial" w:hAnsi="Arial" w:cs="Arial"/>
        </w:rPr>
        <w:t>9.5</w:t>
      </w:r>
      <w:r w:rsidRPr="00AE6C6F">
        <w:rPr>
          <w:rFonts w:ascii="Arial" w:hAnsi="Arial" w:cs="Arial"/>
        </w:rPr>
        <w:t>%)</w:t>
      </w:r>
    </w:p>
    <w:p w14:paraId="55C63A07" w14:textId="01FCDD37" w:rsidR="002B1316" w:rsidRPr="00FC5659" w:rsidRDefault="002B1316" w:rsidP="002B1316">
      <w:pPr>
        <w:spacing w:after="0" w:line="240" w:lineRule="auto"/>
        <w:rPr>
          <w:rFonts w:ascii="Arial" w:hAnsi="Arial" w:cs="Arial"/>
        </w:rPr>
      </w:pPr>
      <w:r w:rsidRPr="00AE6C6F">
        <w:rPr>
          <w:rFonts w:ascii="Arial" w:hAnsi="Arial" w:cs="Arial"/>
        </w:rPr>
        <w:t xml:space="preserve">Median gender pay gap for Treloar Trust is: </w:t>
      </w:r>
      <w:r w:rsidR="00D86005" w:rsidRPr="00AE6C6F">
        <w:rPr>
          <w:rFonts w:ascii="Arial" w:hAnsi="Arial" w:cs="Arial"/>
        </w:rPr>
        <w:t>1.</w:t>
      </w:r>
      <w:r w:rsidR="009579DA" w:rsidRPr="00AE6C6F">
        <w:rPr>
          <w:rFonts w:ascii="Arial" w:hAnsi="Arial" w:cs="Arial"/>
        </w:rPr>
        <w:t>0</w:t>
      </w:r>
      <w:r w:rsidRPr="00AE6C6F">
        <w:rPr>
          <w:rFonts w:ascii="Arial" w:hAnsi="Arial" w:cs="Arial"/>
        </w:rPr>
        <w:t>% (202</w:t>
      </w:r>
      <w:r w:rsidR="00D86005" w:rsidRPr="00AE6C6F">
        <w:rPr>
          <w:rFonts w:ascii="Arial" w:hAnsi="Arial" w:cs="Arial"/>
        </w:rPr>
        <w:t>3</w:t>
      </w:r>
      <w:r w:rsidRPr="00FC5659">
        <w:rPr>
          <w:rFonts w:ascii="Arial" w:hAnsi="Arial" w:cs="Arial"/>
        </w:rPr>
        <w:t xml:space="preserve">: </w:t>
      </w:r>
      <w:r w:rsidR="00D86005">
        <w:rPr>
          <w:rFonts w:ascii="Arial" w:hAnsi="Arial" w:cs="Arial"/>
        </w:rPr>
        <w:t>0</w:t>
      </w:r>
      <w:r w:rsidRPr="00FC5659">
        <w:rPr>
          <w:rFonts w:ascii="Arial" w:hAnsi="Arial" w:cs="Arial"/>
        </w:rPr>
        <w:t>%)</w:t>
      </w:r>
      <w:r w:rsidRPr="00FC5659">
        <w:rPr>
          <w:rFonts w:ascii="Arial" w:hAnsi="Arial" w:cs="Arial"/>
        </w:rPr>
        <w:tab/>
      </w:r>
    </w:p>
    <w:p w14:paraId="30AD0845" w14:textId="77777777" w:rsidR="002B1316" w:rsidRPr="00FC5659" w:rsidRDefault="002B1316" w:rsidP="002B1316">
      <w:pPr>
        <w:spacing w:after="0" w:line="240" w:lineRule="auto"/>
        <w:rPr>
          <w:rFonts w:ascii="Arial" w:hAnsi="Arial" w:cs="Arial"/>
          <w:color w:val="FF0000"/>
        </w:rPr>
      </w:pPr>
    </w:p>
    <w:p w14:paraId="7922FDDA" w14:textId="554018E3" w:rsidR="002B1316" w:rsidRPr="00FC5659" w:rsidRDefault="002B1316" w:rsidP="002B1316">
      <w:pPr>
        <w:spacing w:after="0" w:line="240" w:lineRule="auto"/>
        <w:rPr>
          <w:rFonts w:ascii="Arial" w:hAnsi="Arial" w:cs="Arial"/>
        </w:rPr>
      </w:pPr>
      <w:r w:rsidRPr="00FC5659">
        <w:rPr>
          <w:rFonts w:ascii="Arial" w:hAnsi="Arial" w:cs="Arial"/>
        </w:rPr>
        <w:t xml:space="preserve">The causes of the gender pay gap are many and varied. These partly reflect a lack of diversity at </w:t>
      </w:r>
      <w:r w:rsidR="00D86005">
        <w:rPr>
          <w:rFonts w:ascii="Arial" w:hAnsi="Arial" w:cs="Arial"/>
        </w:rPr>
        <w:t xml:space="preserve">senior and </w:t>
      </w:r>
      <w:r w:rsidRPr="00FC5659">
        <w:rPr>
          <w:rFonts w:ascii="Arial" w:hAnsi="Arial" w:cs="Arial"/>
        </w:rPr>
        <w:t xml:space="preserve">executive level. </w:t>
      </w:r>
      <w:r w:rsidR="00D86005">
        <w:rPr>
          <w:rFonts w:ascii="Arial" w:hAnsi="Arial" w:cs="Arial"/>
        </w:rPr>
        <w:t>An</w:t>
      </w:r>
      <w:r w:rsidRPr="00FC5659">
        <w:rPr>
          <w:rFonts w:ascii="Arial" w:hAnsi="Arial" w:cs="Arial"/>
        </w:rPr>
        <w:t xml:space="preserve"> employer that has completely eliminated unequal pay may still have a gender pay gap whether positive or negative. Where one group is under-represented swings in reporting may be exaggerated by changes to a few individuals. </w:t>
      </w:r>
    </w:p>
    <w:p w14:paraId="4E719CA4" w14:textId="77777777" w:rsidR="002B1316" w:rsidRPr="00FC5659" w:rsidRDefault="002B1316" w:rsidP="002B1316">
      <w:pPr>
        <w:spacing w:after="0" w:line="240" w:lineRule="auto"/>
        <w:rPr>
          <w:rFonts w:ascii="Arial" w:hAnsi="Arial" w:cs="Arial"/>
        </w:rPr>
      </w:pPr>
    </w:p>
    <w:p w14:paraId="77931093" w14:textId="4ED68EDF" w:rsidR="002B1316" w:rsidRPr="00AE6C6F" w:rsidRDefault="002B1316" w:rsidP="002B1316">
      <w:pPr>
        <w:spacing w:after="0" w:line="240" w:lineRule="auto"/>
        <w:rPr>
          <w:rFonts w:ascii="Arial" w:hAnsi="Arial" w:cs="Arial"/>
        </w:rPr>
      </w:pPr>
      <w:r w:rsidRPr="00FC5659">
        <w:rPr>
          <w:rFonts w:ascii="Arial" w:hAnsi="Arial" w:cs="Arial"/>
        </w:rPr>
        <w:t xml:space="preserve">The Mean disability pay gap for Treloar Trust is: </w:t>
      </w:r>
      <w:r w:rsidR="004F18A6">
        <w:rPr>
          <w:rFonts w:ascii="Arial" w:hAnsi="Arial" w:cs="Arial"/>
        </w:rPr>
        <w:t>1.8%</w:t>
      </w:r>
      <w:r w:rsidR="00F74921">
        <w:rPr>
          <w:rFonts w:ascii="Arial" w:hAnsi="Arial" w:cs="Arial"/>
        </w:rPr>
        <w:t xml:space="preserve"> </w:t>
      </w:r>
      <w:r w:rsidR="00F74921" w:rsidRPr="00AE6C6F">
        <w:rPr>
          <w:rFonts w:ascii="Arial" w:hAnsi="Arial" w:cs="Arial"/>
        </w:rPr>
        <w:t>(2023 9.3%)</w:t>
      </w:r>
      <w:r w:rsidRPr="00AE6C6F">
        <w:rPr>
          <w:rFonts w:ascii="Arial" w:hAnsi="Arial" w:cs="Arial"/>
        </w:rPr>
        <w:t xml:space="preserve">, the median disability pay gap for the Treloar Trust is: </w:t>
      </w:r>
      <w:r w:rsidR="004F18A6" w:rsidRPr="00AE6C6F">
        <w:rPr>
          <w:rFonts w:ascii="Arial" w:hAnsi="Arial" w:cs="Arial"/>
        </w:rPr>
        <w:t>-</w:t>
      </w:r>
      <w:r w:rsidR="00057E80" w:rsidRPr="00AE6C6F">
        <w:rPr>
          <w:rFonts w:ascii="Arial" w:hAnsi="Arial" w:cs="Arial"/>
        </w:rPr>
        <w:t>1.8</w:t>
      </w:r>
      <w:r w:rsidRPr="00AE6C6F">
        <w:rPr>
          <w:rFonts w:ascii="Arial" w:hAnsi="Arial" w:cs="Arial"/>
        </w:rPr>
        <w:t>%</w:t>
      </w:r>
      <w:r w:rsidR="00F74921" w:rsidRPr="00AE6C6F">
        <w:rPr>
          <w:rFonts w:ascii="Arial" w:hAnsi="Arial" w:cs="Arial"/>
        </w:rPr>
        <w:t xml:space="preserve"> (2023 12.2%)</w:t>
      </w:r>
      <w:r w:rsidRPr="00AE6C6F">
        <w:rPr>
          <w:rFonts w:ascii="Arial" w:hAnsi="Arial" w:cs="Arial"/>
        </w:rPr>
        <w:t>.</w:t>
      </w:r>
    </w:p>
    <w:p w14:paraId="5FEFBECD" w14:textId="77777777" w:rsidR="002B1316" w:rsidRPr="00FC5659" w:rsidRDefault="002B1316" w:rsidP="002B1316">
      <w:pPr>
        <w:spacing w:after="0" w:line="240" w:lineRule="auto"/>
        <w:rPr>
          <w:rFonts w:ascii="Arial" w:hAnsi="Arial" w:cs="Arial"/>
        </w:rPr>
      </w:pPr>
    </w:p>
    <w:p w14:paraId="63B71E8B" w14:textId="3B92E551" w:rsidR="00822B30" w:rsidRPr="00AE6C6F" w:rsidRDefault="00822B30" w:rsidP="00822B30">
      <w:pPr>
        <w:spacing w:after="0" w:line="240" w:lineRule="auto"/>
        <w:rPr>
          <w:rFonts w:ascii="Arial" w:hAnsi="Arial" w:cs="Arial"/>
        </w:rPr>
      </w:pPr>
      <w:r w:rsidRPr="00AE6C6F">
        <w:rPr>
          <w:rFonts w:ascii="Arial" w:hAnsi="Arial" w:cs="Arial"/>
        </w:rPr>
        <w:t>The mean ethnicity pay gap for Treloar Trust is: 18.3% (2023 12.4%).  The median ethnicity pay gap for Treloar Trust is: 9.4% (2023 1.4%).</w:t>
      </w:r>
    </w:p>
    <w:p w14:paraId="4B62D683" w14:textId="77777777" w:rsidR="002B1316" w:rsidRPr="00FC5659" w:rsidRDefault="002B1316" w:rsidP="002B1316">
      <w:pPr>
        <w:spacing w:after="0" w:line="240" w:lineRule="auto"/>
        <w:rPr>
          <w:rFonts w:ascii="Arial" w:hAnsi="Arial" w:cs="Arial"/>
          <w:color w:val="FF0000"/>
        </w:rPr>
      </w:pPr>
    </w:p>
    <w:p w14:paraId="29CC3A1B" w14:textId="5BF27555" w:rsidR="00086CF2" w:rsidRDefault="00086CF2">
      <w:pPr>
        <w:rPr>
          <w:rFonts w:ascii="Arial" w:hAnsi="Arial" w:cs="Arial"/>
          <w:color w:val="FF0000"/>
        </w:rPr>
      </w:pPr>
      <w:r>
        <w:rPr>
          <w:rFonts w:ascii="Arial" w:hAnsi="Arial" w:cs="Arial"/>
          <w:color w:val="FF0000"/>
        </w:rPr>
        <w:br w:type="page"/>
      </w:r>
    </w:p>
    <w:p w14:paraId="1ADDE179" w14:textId="77777777" w:rsidR="002B1316" w:rsidRPr="00FC5659" w:rsidRDefault="002B1316" w:rsidP="002B1316">
      <w:pPr>
        <w:spacing w:after="0" w:line="240" w:lineRule="auto"/>
        <w:rPr>
          <w:rFonts w:ascii="Arial" w:hAnsi="Arial" w:cs="Arial"/>
          <w:color w:val="FF0000"/>
        </w:rPr>
      </w:pPr>
    </w:p>
    <w:p w14:paraId="4D1F9342" w14:textId="77777777" w:rsidR="002B1316" w:rsidRPr="00FC5659" w:rsidRDefault="002B1316" w:rsidP="002B1316">
      <w:pPr>
        <w:spacing w:after="0" w:line="240" w:lineRule="auto"/>
        <w:rPr>
          <w:rFonts w:ascii="Arial" w:hAnsi="Arial" w:cs="Arial"/>
          <w:b/>
        </w:rPr>
      </w:pPr>
      <w:r w:rsidRPr="00FC5659">
        <w:rPr>
          <w:rFonts w:ascii="Arial" w:hAnsi="Arial" w:cs="Arial"/>
          <w:b/>
        </w:rPr>
        <w:t>Proportion of each category of employees in each pay quartile</w:t>
      </w:r>
    </w:p>
    <w:p w14:paraId="7B2D06A0" w14:textId="77777777" w:rsidR="00086CF2" w:rsidRDefault="00086CF2" w:rsidP="002B1316">
      <w:pPr>
        <w:spacing w:after="0" w:line="240" w:lineRule="auto"/>
        <w:rPr>
          <w:rFonts w:ascii="Arial" w:hAnsi="Arial" w:cs="Arial"/>
        </w:rPr>
      </w:pPr>
    </w:p>
    <w:p w14:paraId="4F611C93" w14:textId="3E486A91" w:rsidR="002B1316" w:rsidRPr="00FC5659" w:rsidRDefault="002B1316" w:rsidP="002B1316">
      <w:pPr>
        <w:spacing w:after="0" w:line="240" w:lineRule="auto"/>
        <w:rPr>
          <w:rFonts w:ascii="Arial" w:hAnsi="Arial" w:cs="Arial"/>
        </w:rPr>
      </w:pPr>
      <w:r w:rsidRPr="00FC5659">
        <w:rPr>
          <w:rFonts w:ascii="Arial" w:hAnsi="Arial" w:cs="Arial"/>
        </w:rPr>
        <w:t>This table shows the gender split when we order the hourly rate of pay from the lowest to highest and then group into four equal quartiles.</w:t>
      </w:r>
    </w:p>
    <w:p w14:paraId="5B9205D2" w14:textId="77777777" w:rsidR="002B1316" w:rsidRPr="00FC5659" w:rsidRDefault="002B1316" w:rsidP="002B1316">
      <w:pPr>
        <w:spacing w:after="0" w:line="240" w:lineRule="auto"/>
        <w:rPr>
          <w:rFonts w:ascii="Arial" w:hAnsi="Arial" w:cs="Arial"/>
          <w:color w:val="FF0000"/>
        </w:rPr>
      </w:pPr>
    </w:p>
    <w:p w14:paraId="0BF64201" w14:textId="77777777" w:rsidR="002B1316" w:rsidRPr="00FC5659" w:rsidRDefault="002B1316" w:rsidP="002B1316">
      <w:pPr>
        <w:spacing w:after="0" w:line="240" w:lineRule="auto"/>
        <w:rPr>
          <w:rFonts w:ascii="Arial" w:hAnsi="Arial" w:cs="Arial"/>
          <w:b/>
        </w:rPr>
      </w:pPr>
      <w:r w:rsidRPr="00FC5659">
        <w:rPr>
          <w:rFonts w:ascii="Arial" w:hAnsi="Arial" w:cs="Arial"/>
          <w:b/>
        </w:rPr>
        <w:t>Pay quartiles by gender</w:t>
      </w:r>
    </w:p>
    <w:p w14:paraId="014EC562" w14:textId="77777777" w:rsidR="002B1316" w:rsidRPr="00FC5659" w:rsidRDefault="002B1316" w:rsidP="002B1316">
      <w:pPr>
        <w:spacing w:after="0" w:line="240" w:lineRule="auto"/>
        <w:rPr>
          <w:rFonts w:ascii="Arial" w:hAnsi="Arial" w:cs="Arial"/>
          <w:b/>
          <w:color w:val="FF0000"/>
        </w:rPr>
      </w:pPr>
    </w:p>
    <w:tbl>
      <w:tblPr>
        <w:tblStyle w:val="TableGrid"/>
        <w:tblW w:w="8472" w:type="dxa"/>
        <w:tblLayout w:type="fixed"/>
        <w:tblLook w:val="04A0" w:firstRow="1" w:lastRow="0" w:firstColumn="1" w:lastColumn="0" w:noHBand="0" w:noVBand="1"/>
      </w:tblPr>
      <w:tblGrid>
        <w:gridCol w:w="1384"/>
        <w:gridCol w:w="992"/>
        <w:gridCol w:w="1134"/>
        <w:gridCol w:w="1276"/>
        <w:gridCol w:w="1276"/>
        <w:gridCol w:w="1134"/>
        <w:gridCol w:w="1276"/>
      </w:tblGrid>
      <w:tr w:rsidR="00822B30" w:rsidRPr="00FC5659" w14:paraId="3FB1DE77" w14:textId="77777777" w:rsidTr="00714F02">
        <w:tc>
          <w:tcPr>
            <w:tcW w:w="1384" w:type="dxa"/>
          </w:tcPr>
          <w:p w14:paraId="763F0716" w14:textId="77777777" w:rsidR="00822B30" w:rsidRPr="00FC5659" w:rsidRDefault="00822B30" w:rsidP="00714F02">
            <w:pPr>
              <w:rPr>
                <w:rFonts w:ascii="Arial" w:hAnsi="Arial" w:cs="Arial"/>
                <w:b/>
              </w:rPr>
            </w:pPr>
          </w:p>
        </w:tc>
        <w:tc>
          <w:tcPr>
            <w:tcW w:w="2126" w:type="dxa"/>
            <w:gridSpan w:val="2"/>
          </w:tcPr>
          <w:p w14:paraId="6AFFD325" w14:textId="77777777" w:rsidR="00822B30" w:rsidRPr="00FC5659" w:rsidRDefault="00822B30" w:rsidP="00714F02">
            <w:pPr>
              <w:rPr>
                <w:rFonts w:ascii="Arial" w:hAnsi="Arial" w:cs="Arial"/>
                <w:b/>
              </w:rPr>
            </w:pPr>
            <w:r w:rsidRPr="00FC5659">
              <w:rPr>
                <w:rFonts w:ascii="Arial" w:hAnsi="Arial" w:cs="Arial"/>
                <w:b/>
              </w:rPr>
              <w:t>Gender</w:t>
            </w:r>
          </w:p>
        </w:tc>
        <w:tc>
          <w:tcPr>
            <w:tcW w:w="2552" w:type="dxa"/>
            <w:gridSpan w:val="2"/>
          </w:tcPr>
          <w:p w14:paraId="735431E4" w14:textId="77777777" w:rsidR="00822B30" w:rsidRPr="00FC5659" w:rsidRDefault="00822B30" w:rsidP="00714F02">
            <w:pPr>
              <w:rPr>
                <w:rFonts w:ascii="Arial" w:hAnsi="Arial" w:cs="Arial"/>
                <w:b/>
              </w:rPr>
            </w:pPr>
            <w:r w:rsidRPr="00FC5659">
              <w:rPr>
                <w:rFonts w:ascii="Arial" w:hAnsi="Arial" w:cs="Arial"/>
                <w:b/>
              </w:rPr>
              <w:t>Disability</w:t>
            </w:r>
          </w:p>
        </w:tc>
        <w:tc>
          <w:tcPr>
            <w:tcW w:w="2410" w:type="dxa"/>
            <w:gridSpan w:val="2"/>
          </w:tcPr>
          <w:p w14:paraId="000AF6FC" w14:textId="77777777" w:rsidR="00822B30" w:rsidRPr="00FC5659" w:rsidRDefault="00822B30" w:rsidP="00714F02">
            <w:pPr>
              <w:rPr>
                <w:rFonts w:ascii="Arial" w:hAnsi="Arial" w:cs="Arial"/>
                <w:b/>
              </w:rPr>
            </w:pPr>
            <w:r w:rsidRPr="00FC5659">
              <w:rPr>
                <w:rFonts w:ascii="Arial" w:hAnsi="Arial" w:cs="Arial"/>
                <w:b/>
              </w:rPr>
              <w:t>Ethnicity</w:t>
            </w:r>
          </w:p>
        </w:tc>
      </w:tr>
      <w:tr w:rsidR="00822B30" w:rsidRPr="00FC5659" w14:paraId="6F6871FC" w14:textId="77777777" w:rsidTr="00714F02">
        <w:tc>
          <w:tcPr>
            <w:tcW w:w="1384" w:type="dxa"/>
          </w:tcPr>
          <w:p w14:paraId="25B0488F" w14:textId="77777777" w:rsidR="00822B30" w:rsidRPr="00FC5659" w:rsidRDefault="00822B30" w:rsidP="00714F02">
            <w:pPr>
              <w:rPr>
                <w:rFonts w:ascii="Arial" w:hAnsi="Arial" w:cs="Arial"/>
                <w:b/>
              </w:rPr>
            </w:pPr>
            <w:r w:rsidRPr="00FC5659">
              <w:rPr>
                <w:rFonts w:ascii="Arial" w:hAnsi="Arial" w:cs="Arial"/>
                <w:b/>
              </w:rPr>
              <w:t>Band</w:t>
            </w:r>
          </w:p>
        </w:tc>
        <w:tc>
          <w:tcPr>
            <w:tcW w:w="992" w:type="dxa"/>
          </w:tcPr>
          <w:p w14:paraId="76DC6871" w14:textId="77777777" w:rsidR="00822B30" w:rsidRPr="00FC5659" w:rsidRDefault="00822B30" w:rsidP="00714F02">
            <w:pPr>
              <w:rPr>
                <w:rFonts w:ascii="Arial" w:hAnsi="Arial" w:cs="Arial"/>
                <w:b/>
              </w:rPr>
            </w:pPr>
            <w:r w:rsidRPr="00FC5659">
              <w:rPr>
                <w:rFonts w:ascii="Arial" w:hAnsi="Arial" w:cs="Arial"/>
                <w:b/>
              </w:rPr>
              <w:t>Males</w:t>
            </w:r>
          </w:p>
        </w:tc>
        <w:tc>
          <w:tcPr>
            <w:tcW w:w="1134" w:type="dxa"/>
          </w:tcPr>
          <w:p w14:paraId="009FB6BC" w14:textId="77777777" w:rsidR="00822B30" w:rsidRPr="00FC5659" w:rsidRDefault="00822B30" w:rsidP="00714F02">
            <w:pPr>
              <w:rPr>
                <w:rFonts w:ascii="Arial" w:hAnsi="Arial" w:cs="Arial"/>
                <w:b/>
              </w:rPr>
            </w:pPr>
            <w:r w:rsidRPr="00FC5659">
              <w:rPr>
                <w:rFonts w:ascii="Arial" w:hAnsi="Arial" w:cs="Arial"/>
                <w:b/>
              </w:rPr>
              <w:t>Females</w:t>
            </w:r>
          </w:p>
        </w:tc>
        <w:tc>
          <w:tcPr>
            <w:tcW w:w="1276" w:type="dxa"/>
          </w:tcPr>
          <w:p w14:paraId="0A31EB32" w14:textId="2C221C9C" w:rsidR="00822B30" w:rsidRPr="00AE6C6F" w:rsidRDefault="00B0535A" w:rsidP="00714F02">
            <w:pPr>
              <w:rPr>
                <w:rFonts w:ascii="Arial" w:hAnsi="Arial" w:cs="Arial"/>
                <w:b/>
              </w:rPr>
            </w:pPr>
            <w:r w:rsidRPr="00AE6C6F">
              <w:rPr>
                <w:rFonts w:ascii="Arial" w:hAnsi="Arial" w:cs="Arial"/>
                <w:b/>
              </w:rPr>
              <w:t>Yes</w:t>
            </w:r>
          </w:p>
        </w:tc>
        <w:tc>
          <w:tcPr>
            <w:tcW w:w="1276" w:type="dxa"/>
          </w:tcPr>
          <w:p w14:paraId="381886AD" w14:textId="0FA494EC" w:rsidR="00822B30" w:rsidRPr="00AE6C6F" w:rsidRDefault="00B0535A" w:rsidP="00714F02">
            <w:pPr>
              <w:rPr>
                <w:rFonts w:ascii="Arial" w:hAnsi="Arial" w:cs="Arial"/>
                <w:b/>
              </w:rPr>
            </w:pPr>
            <w:r w:rsidRPr="00AE6C6F">
              <w:rPr>
                <w:rFonts w:ascii="Arial" w:hAnsi="Arial" w:cs="Arial"/>
                <w:b/>
              </w:rPr>
              <w:t>No</w:t>
            </w:r>
          </w:p>
        </w:tc>
        <w:tc>
          <w:tcPr>
            <w:tcW w:w="1134" w:type="dxa"/>
          </w:tcPr>
          <w:p w14:paraId="1FF371F4" w14:textId="77777777" w:rsidR="00822B30" w:rsidRPr="00AE6C6F" w:rsidRDefault="00822B30" w:rsidP="00714F02">
            <w:pPr>
              <w:rPr>
                <w:rFonts w:ascii="Arial" w:hAnsi="Arial" w:cs="Arial"/>
                <w:b/>
              </w:rPr>
            </w:pPr>
            <w:r w:rsidRPr="00AE6C6F">
              <w:rPr>
                <w:rFonts w:ascii="Arial" w:hAnsi="Arial" w:cs="Arial"/>
                <w:b/>
              </w:rPr>
              <w:t>White</w:t>
            </w:r>
          </w:p>
        </w:tc>
        <w:tc>
          <w:tcPr>
            <w:tcW w:w="1276" w:type="dxa"/>
          </w:tcPr>
          <w:p w14:paraId="59676A5E" w14:textId="77777777" w:rsidR="00822B30" w:rsidRPr="00AE6C6F" w:rsidRDefault="00822B30" w:rsidP="00714F02">
            <w:pPr>
              <w:rPr>
                <w:rFonts w:ascii="Arial" w:hAnsi="Arial" w:cs="Arial"/>
                <w:b/>
              </w:rPr>
            </w:pPr>
            <w:r w:rsidRPr="00AE6C6F">
              <w:rPr>
                <w:rFonts w:ascii="Arial" w:hAnsi="Arial" w:cs="Arial"/>
                <w:b/>
              </w:rPr>
              <w:t>Non-White</w:t>
            </w:r>
          </w:p>
        </w:tc>
      </w:tr>
      <w:tr w:rsidR="00822B30" w:rsidRPr="00FC5659" w14:paraId="4A9C06CF" w14:textId="77777777" w:rsidTr="00714F02">
        <w:tc>
          <w:tcPr>
            <w:tcW w:w="1384" w:type="dxa"/>
          </w:tcPr>
          <w:p w14:paraId="14E9C896" w14:textId="77777777" w:rsidR="00822B30" w:rsidRPr="00FC5659" w:rsidRDefault="00822B30" w:rsidP="00714F02">
            <w:pPr>
              <w:rPr>
                <w:rFonts w:ascii="Arial" w:hAnsi="Arial" w:cs="Arial"/>
              </w:rPr>
            </w:pPr>
            <w:r w:rsidRPr="00FC5659">
              <w:rPr>
                <w:rFonts w:ascii="Arial" w:hAnsi="Arial" w:cs="Arial"/>
              </w:rPr>
              <w:t>A (lowest)</w:t>
            </w:r>
          </w:p>
        </w:tc>
        <w:tc>
          <w:tcPr>
            <w:tcW w:w="992" w:type="dxa"/>
          </w:tcPr>
          <w:p w14:paraId="67C0D5AB" w14:textId="1D146390" w:rsidR="00822B30" w:rsidRPr="00B0535A" w:rsidRDefault="00B0535A" w:rsidP="00714F02">
            <w:pPr>
              <w:rPr>
                <w:rFonts w:ascii="Arial" w:hAnsi="Arial" w:cs="Arial"/>
              </w:rPr>
            </w:pPr>
            <w:r w:rsidRPr="00B0535A">
              <w:rPr>
                <w:rFonts w:ascii="Arial" w:hAnsi="Arial" w:cs="Arial"/>
              </w:rPr>
              <w:t>16.4%</w:t>
            </w:r>
          </w:p>
        </w:tc>
        <w:tc>
          <w:tcPr>
            <w:tcW w:w="1134" w:type="dxa"/>
          </w:tcPr>
          <w:p w14:paraId="6BD1DD48" w14:textId="738E61C3" w:rsidR="00822B30" w:rsidRPr="00B0535A" w:rsidRDefault="00B0535A" w:rsidP="00714F02">
            <w:pPr>
              <w:rPr>
                <w:rFonts w:ascii="Arial" w:hAnsi="Arial" w:cs="Arial"/>
              </w:rPr>
            </w:pPr>
            <w:r w:rsidRPr="00B0535A">
              <w:rPr>
                <w:rFonts w:ascii="Arial" w:hAnsi="Arial" w:cs="Arial"/>
              </w:rPr>
              <w:t>83.6%</w:t>
            </w:r>
          </w:p>
        </w:tc>
        <w:tc>
          <w:tcPr>
            <w:tcW w:w="1276" w:type="dxa"/>
          </w:tcPr>
          <w:p w14:paraId="6D22FD07" w14:textId="678D8E32" w:rsidR="00822B30" w:rsidRPr="00AE6C6F" w:rsidRDefault="00B0535A" w:rsidP="00714F02">
            <w:pPr>
              <w:rPr>
                <w:rFonts w:ascii="Arial" w:hAnsi="Arial" w:cs="Arial"/>
              </w:rPr>
            </w:pPr>
            <w:r w:rsidRPr="00AE6C6F">
              <w:rPr>
                <w:rFonts w:ascii="Arial" w:hAnsi="Arial" w:cs="Arial"/>
              </w:rPr>
              <w:t>11.2%</w:t>
            </w:r>
          </w:p>
        </w:tc>
        <w:tc>
          <w:tcPr>
            <w:tcW w:w="1276" w:type="dxa"/>
          </w:tcPr>
          <w:p w14:paraId="7251E8B4" w14:textId="7748746E" w:rsidR="00822B30" w:rsidRPr="00AE6C6F" w:rsidRDefault="00B0535A" w:rsidP="00714F02">
            <w:pPr>
              <w:rPr>
                <w:rFonts w:ascii="Arial" w:hAnsi="Arial" w:cs="Arial"/>
              </w:rPr>
            </w:pPr>
            <w:r w:rsidRPr="00AE6C6F">
              <w:rPr>
                <w:rFonts w:ascii="Arial" w:hAnsi="Arial" w:cs="Arial"/>
              </w:rPr>
              <w:t>88.8%</w:t>
            </w:r>
          </w:p>
        </w:tc>
        <w:tc>
          <w:tcPr>
            <w:tcW w:w="1134" w:type="dxa"/>
          </w:tcPr>
          <w:p w14:paraId="4B5948A3" w14:textId="04F2CFAC" w:rsidR="00822B30" w:rsidRPr="00AE6C6F" w:rsidRDefault="00822B30" w:rsidP="00714F02">
            <w:pPr>
              <w:rPr>
                <w:rFonts w:ascii="Arial" w:hAnsi="Arial" w:cs="Arial"/>
              </w:rPr>
            </w:pPr>
            <w:r w:rsidRPr="00AE6C6F">
              <w:rPr>
                <w:rFonts w:ascii="Arial" w:hAnsi="Arial" w:cs="Arial"/>
              </w:rPr>
              <w:t>90.7%</w:t>
            </w:r>
          </w:p>
        </w:tc>
        <w:tc>
          <w:tcPr>
            <w:tcW w:w="1276" w:type="dxa"/>
          </w:tcPr>
          <w:p w14:paraId="3B4469CF" w14:textId="0ADA0782" w:rsidR="00822B30" w:rsidRPr="00AE6C6F" w:rsidRDefault="00822B30" w:rsidP="00714F02">
            <w:pPr>
              <w:rPr>
                <w:rFonts w:ascii="Arial" w:hAnsi="Arial" w:cs="Arial"/>
              </w:rPr>
            </w:pPr>
            <w:r w:rsidRPr="00AE6C6F">
              <w:rPr>
                <w:rFonts w:ascii="Arial" w:hAnsi="Arial" w:cs="Arial"/>
              </w:rPr>
              <w:t>9.3%</w:t>
            </w:r>
          </w:p>
        </w:tc>
      </w:tr>
      <w:tr w:rsidR="00822B30" w:rsidRPr="00FC5659" w14:paraId="2078F53C" w14:textId="77777777" w:rsidTr="00714F02">
        <w:tc>
          <w:tcPr>
            <w:tcW w:w="1384" w:type="dxa"/>
          </w:tcPr>
          <w:p w14:paraId="5EBE2085" w14:textId="77777777" w:rsidR="00822B30" w:rsidRPr="00FC5659" w:rsidRDefault="00822B30" w:rsidP="00714F02">
            <w:pPr>
              <w:rPr>
                <w:rFonts w:ascii="Arial" w:hAnsi="Arial" w:cs="Arial"/>
              </w:rPr>
            </w:pPr>
            <w:r w:rsidRPr="00FC5659">
              <w:rPr>
                <w:rFonts w:ascii="Arial" w:hAnsi="Arial" w:cs="Arial"/>
              </w:rPr>
              <w:t>B</w:t>
            </w:r>
          </w:p>
        </w:tc>
        <w:tc>
          <w:tcPr>
            <w:tcW w:w="992" w:type="dxa"/>
          </w:tcPr>
          <w:p w14:paraId="3EF268AE" w14:textId="5EB4E50F" w:rsidR="00822B30" w:rsidRPr="00B0535A" w:rsidRDefault="00B0535A" w:rsidP="00714F02">
            <w:pPr>
              <w:rPr>
                <w:rFonts w:ascii="Arial" w:hAnsi="Arial" w:cs="Arial"/>
              </w:rPr>
            </w:pPr>
            <w:r w:rsidRPr="00B0535A">
              <w:rPr>
                <w:rFonts w:ascii="Arial" w:hAnsi="Arial" w:cs="Arial"/>
              </w:rPr>
              <w:t>15.9%</w:t>
            </w:r>
          </w:p>
        </w:tc>
        <w:tc>
          <w:tcPr>
            <w:tcW w:w="1134" w:type="dxa"/>
          </w:tcPr>
          <w:p w14:paraId="74A6B74B" w14:textId="76EA3997" w:rsidR="00822B30" w:rsidRPr="00B0535A" w:rsidRDefault="00B0535A" w:rsidP="00714F02">
            <w:pPr>
              <w:rPr>
                <w:rFonts w:ascii="Arial" w:hAnsi="Arial" w:cs="Arial"/>
              </w:rPr>
            </w:pPr>
            <w:r w:rsidRPr="00B0535A">
              <w:rPr>
                <w:rFonts w:ascii="Arial" w:hAnsi="Arial" w:cs="Arial"/>
              </w:rPr>
              <w:t>84.1%</w:t>
            </w:r>
          </w:p>
        </w:tc>
        <w:tc>
          <w:tcPr>
            <w:tcW w:w="1276" w:type="dxa"/>
          </w:tcPr>
          <w:p w14:paraId="3AD2C184" w14:textId="20CD4D4C" w:rsidR="00822B30" w:rsidRPr="00AE6C6F" w:rsidRDefault="00B0535A" w:rsidP="00714F02">
            <w:pPr>
              <w:rPr>
                <w:rFonts w:ascii="Arial" w:hAnsi="Arial" w:cs="Arial"/>
              </w:rPr>
            </w:pPr>
            <w:r w:rsidRPr="00AE6C6F">
              <w:rPr>
                <w:rFonts w:ascii="Arial" w:hAnsi="Arial" w:cs="Arial"/>
              </w:rPr>
              <w:t>10.3%</w:t>
            </w:r>
          </w:p>
        </w:tc>
        <w:tc>
          <w:tcPr>
            <w:tcW w:w="1276" w:type="dxa"/>
          </w:tcPr>
          <w:p w14:paraId="4256B5CD" w14:textId="7C2488C3" w:rsidR="00822B30" w:rsidRPr="00AE6C6F" w:rsidRDefault="00B0535A" w:rsidP="00714F02">
            <w:pPr>
              <w:rPr>
                <w:rFonts w:ascii="Arial" w:hAnsi="Arial" w:cs="Arial"/>
              </w:rPr>
            </w:pPr>
            <w:r w:rsidRPr="00AE6C6F">
              <w:rPr>
                <w:rFonts w:ascii="Arial" w:hAnsi="Arial" w:cs="Arial"/>
              </w:rPr>
              <w:t>89.7%</w:t>
            </w:r>
          </w:p>
        </w:tc>
        <w:tc>
          <w:tcPr>
            <w:tcW w:w="1134" w:type="dxa"/>
          </w:tcPr>
          <w:p w14:paraId="138952F1" w14:textId="65D84173" w:rsidR="00822B30" w:rsidRPr="00AE6C6F" w:rsidRDefault="00822B30" w:rsidP="00714F02">
            <w:pPr>
              <w:rPr>
                <w:rFonts w:ascii="Arial" w:hAnsi="Arial" w:cs="Arial"/>
              </w:rPr>
            </w:pPr>
            <w:r w:rsidRPr="00AE6C6F">
              <w:rPr>
                <w:rFonts w:ascii="Arial" w:hAnsi="Arial" w:cs="Arial"/>
              </w:rPr>
              <w:t>66.1%</w:t>
            </w:r>
          </w:p>
        </w:tc>
        <w:tc>
          <w:tcPr>
            <w:tcW w:w="1276" w:type="dxa"/>
          </w:tcPr>
          <w:p w14:paraId="163F9662" w14:textId="491BFEB4" w:rsidR="00822B30" w:rsidRPr="00AE6C6F" w:rsidRDefault="00822B30" w:rsidP="00714F02">
            <w:pPr>
              <w:rPr>
                <w:rFonts w:ascii="Arial" w:hAnsi="Arial" w:cs="Arial"/>
              </w:rPr>
            </w:pPr>
            <w:r w:rsidRPr="00AE6C6F">
              <w:rPr>
                <w:rFonts w:ascii="Arial" w:hAnsi="Arial" w:cs="Arial"/>
              </w:rPr>
              <w:t>33.9%</w:t>
            </w:r>
          </w:p>
        </w:tc>
      </w:tr>
      <w:tr w:rsidR="00822B30" w:rsidRPr="00FC5659" w14:paraId="1D8AA99F" w14:textId="77777777" w:rsidTr="00714F02">
        <w:tc>
          <w:tcPr>
            <w:tcW w:w="1384" w:type="dxa"/>
          </w:tcPr>
          <w:p w14:paraId="5B64CB26" w14:textId="77777777" w:rsidR="00822B30" w:rsidRPr="00FC5659" w:rsidRDefault="00822B30" w:rsidP="00714F02">
            <w:pPr>
              <w:rPr>
                <w:rFonts w:ascii="Arial" w:hAnsi="Arial" w:cs="Arial"/>
              </w:rPr>
            </w:pPr>
            <w:r w:rsidRPr="00FC5659">
              <w:rPr>
                <w:rFonts w:ascii="Arial" w:hAnsi="Arial" w:cs="Arial"/>
              </w:rPr>
              <w:t>C</w:t>
            </w:r>
          </w:p>
        </w:tc>
        <w:tc>
          <w:tcPr>
            <w:tcW w:w="992" w:type="dxa"/>
          </w:tcPr>
          <w:p w14:paraId="44D24E2A" w14:textId="359D31DD" w:rsidR="00822B30" w:rsidRPr="00B0535A" w:rsidRDefault="00B0535A" w:rsidP="00714F02">
            <w:pPr>
              <w:rPr>
                <w:rFonts w:ascii="Arial" w:hAnsi="Arial" w:cs="Arial"/>
              </w:rPr>
            </w:pPr>
            <w:r w:rsidRPr="00B0535A">
              <w:rPr>
                <w:rFonts w:ascii="Arial" w:hAnsi="Arial" w:cs="Arial"/>
              </w:rPr>
              <w:t>17.5%</w:t>
            </w:r>
          </w:p>
        </w:tc>
        <w:tc>
          <w:tcPr>
            <w:tcW w:w="1134" w:type="dxa"/>
          </w:tcPr>
          <w:p w14:paraId="530D8789" w14:textId="76013A6B" w:rsidR="00822B30" w:rsidRPr="00B0535A" w:rsidRDefault="00B0535A" w:rsidP="00714F02">
            <w:pPr>
              <w:rPr>
                <w:rFonts w:ascii="Arial" w:hAnsi="Arial" w:cs="Arial"/>
              </w:rPr>
            </w:pPr>
            <w:r w:rsidRPr="00B0535A">
              <w:rPr>
                <w:rFonts w:ascii="Arial" w:hAnsi="Arial" w:cs="Arial"/>
              </w:rPr>
              <w:t>82.5%</w:t>
            </w:r>
          </w:p>
        </w:tc>
        <w:tc>
          <w:tcPr>
            <w:tcW w:w="1276" w:type="dxa"/>
          </w:tcPr>
          <w:p w14:paraId="49156A49" w14:textId="43607AC7" w:rsidR="00822B30" w:rsidRPr="00AE6C6F" w:rsidRDefault="00B0535A" w:rsidP="00714F02">
            <w:pPr>
              <w:rPr>
                <w:rFonts w:ascii="Arial" w:hAnsi="Arial" w:cs="Arial"/>
              </w:rPr>
            </w:pPr>
            <w:r w:rsidRPr="00AE6C6F">
              <w:rPr>
                <w:rFonts w:ascii="Arial" w:hAnsi="Arial" w:cs="Arial"/>
              </w:rPr>
              <w:t>6.0%</w:t>
            </w:r>
          </w:p>
        </w:tc>
        <w:tc>
          <w:tcPr>
            <w:tcW w:w="1276" w:type="dxa"/>
          </w:tcPr>
          <w:p w14:paraId="559B525A" w14:textId="2AEF494E" w:rsidR="00822B30" w:rsidRPr="00AE6C6F" w:rsidRDefault="00B0535A" w:rsidP="00714F02">
            <w:pPr>
              <w:rPr>
                <w:rFonts w:ascii="Arial" w:hAnsi="Arial" w:cs="Arial"/>
              </w:rPr>
            </w:pPr>
            <w:r w:rsidRPr="00AE6C6F">
              <w:rPr>
                <w:rFonts w:ascii="Arial" w:hAnsi="Arial" w:cs="Arial"/>
              </w:rPr>
              <w:t>94.0%</w:t>
            </w:r>
          </w:p>
        </w:tc>
        <w:tc>
          <w:tcPr>
            <w:tcW w:w="1134" w:type="dxa"/>
          </w:tcPr>
          <w:p w14:paraId="42B32CBF" w14:textId="4DB401B4" w:rsidR="00822B30" w:rsidRPr="00AE6C6F" w:rsidRDefault="00822B30" w:rsidP="00714F02">
            <w:pPr>
              <w:rPr>
                <w:rFonts w:ascii="Arial" w:hAnsi="Arial" w:cs="Arial"/>
              </w:rPr>
            </w:pPr>
            <w:r w:rsidRPr="00AE6C6F">
              <w:rPr>
                <w:rFonts w:ascii="Arial" w:hAnsi="Arial" w:cs="Arial"/>
              </w:rPr>
              <w:t>86.7%</w:t>
            </w:r>
          </w:p>
        </w:tc>
        <w:tc>
          <w:tcPr>
            <w:tcW w:w="1276" w:type="dxa"/>
          </w:tcPr>
          <w:p w14:paraId="6EC8845C" w14:textId="7682A1E4" w:rsidR="00822B30" w:rsidRPr="00AE6C6F" w:rsidRDefault="00822B30" w:rsidP="00714F02">
            <w:pPr>
              <w:rPr>
                <w:rFonts w:ascii="Arial" w:hAnsi="Arial" w:cs="Arial"/>
              </w:rPr>
            </w:pPr>
            <w:r w:rsidRPr="00AE6C6F">
              <w:rPr>
                <w:rFonts w:ascii="Arial" w:hAnsi="Arial" w:cs="Arial"/>
              </w:rPr>
              <w:t>13.3%</w:t>
            </w:r>
          </w:p>
        </w:tc>
      </w:tr>
      <w:tr w:rsidR="00822B30" w:rsidRPr="00FC5659" w14:paraId="06D3DFEC" w14:textId="77777777" w:rsidTr="00714F02">
        <w:tc>
          <w:tcPr>
            <w:tcW w:w="1384" w:type="dxa"/>
          </w:tcPr>
          <w:p w14:paraId="6B99F753" w14:textId="77777777" w:rsidR="00822B30" w:rsidRPr="00FC5659" w:rsidRDefault="00822B30" w:rsidP="00714F02">
            <w:pPr>
              <w:rPr>
                <w:rFonts w:ascii="Arial" w:hAnsi="Arial" w:cs="Arial"/>
              </w:rPr>
            </w:pPr>
            <w:r w:rsidRPr="00FC5659">
              <w:rPr>
                <w:rFonts w:ascii="Arial" w:hAnsi="Arial" w:cs="Arial"/>
              </w:rPr>
              <w:t>D (highest)</w:t>
            </w:r>
          </w:p>
        </w:tc>
        <w:tc>
          <w:tcPr>
            <w:tcW w:w="992" w:type="dxa"/>
          </w:tcPr>
          <w:p w14:paraId="0CB21EB2" w14:textId="6BD9F4C2" w:rsidR="00822B30" w:rsidRPr="00B0535A" w:rsidRDefault="00B0535A" w:rsidP="00714F02">
            <w:pPr>
              <w:rPr>
                <w:rFonts w:ascii="Arial" w:hAnsi="Arial" w:cs="Arial"/>
              </w:rPr>
            </w:pPr>
            <w:r w:rsidRPr="00B0535A">
              <w:rPr>
                <w:rFonts w:ascii="Arial" w:hAnsi="Arial" w:cs="Arial"/>
              </w:rPr>
              <w:t>17.0%</w:t>
            </w:r>
          </w:p>
        </w:tc>
        <w:tc>
          <w:tcPr>
            <w:tcW w:w="1134" w:type="dxa"/>
          </w:tcPr>
          <w:p w14:paraId="285049BD" w14:textId="1C625C54" w:rsidR="00822B30" w:rsidRPr="00B0535A" w:rsidRDefault="00B0535A" w:rsidP="00714F02">
            <w:pPr>
              <w:rPr>
                <w:rFonts w:ascii="Arial" w:hAnsi="Arial" w:cs="Arial"/>
              </w:rPr>
            </w:pPr>
            <w:r w:rsidRPr="00B0535A">
              <w:rPr>
                <w:rFonts w:ascii="Arial" w:hAnsi="Arial" w:cs="Arial"/>
              </w:rPr>
              <w:t>83.0%</w:t>
            </w:r>
          </w:p>
        </w:tc>
        <w:tc>
          <w:tcPr>
            <w:tcW w:w="1276" w:type="dxa"/>
          </w:tcPr>
          <w:p w14:paraId="2B299E8B" w14:textId="758941A4" w:rsidR="00822B30" w:rsidRPr="00AE6C6F" w:rsidRDefault="00B0535A" w:rsidP="00714F02">
            <w:pPr>
              <w:rPr>
                <w:rFonts w:ascii="Arial" w:hAnsi="Arial" w:cs="Arial"/>
              </w:rPr>
            </w:pPr>
            <w:r w:rsidRPr="00AE6C6F">
              <w:rPr>
                <w:rFonts w:ascii="Arial" w:hAnsi="Arial" w:cs="Arial"/>
              </w:rPr>
              <w:t>11.5%</w:t>
            </w:r>
          </w:p>
        </w:tc>
        <w:tc>
          <w:tcPr>
            <w:tcW w:w="1276" w:type="dxa"/>
          </w:tcPr>
          <w:p w14:paraId="76B40DE3" w14:textId="1533F25C" w:rsidR="00822B30" w:rsidRPr="00AE6C6F" w:rsidRDefault="00B0535A" w:rsidP="00714F02">
            <w:pPr>
              <w:rPr>
                <w:rFonts w:ascii="Arial" w:hAnsi="Arial" w:cs="Arial"/>
              </w:rPr>
            </w:pPr>
            <w:r w:rsidRPr="00AE6C6F">
              <w:rPr>
                <w:rFonts w:ascii="Arial" w:hAnsi="Arial" w:cs="Arial"/>
              </w:rPr>
              <w:t>88.5%</w:t>
            </w:r>
          </w:p>
        </w:tc>
        <w:tc>
          <w:tcPr>
            <w:tcW w:w="1134" w:type="dxa"/>
          </w:tcPr>
          <w:p w14:paraId="7485C408" w14:textId="1932E5D6" w:rsidR="00822B30" w:rsidRPr="00AE6C6F" w:rsidRDefault="00822B30" w:rsidP="00714F02">
            <w:pPr>
              <w:rPr>
                <w:rFonts w:ascii="Arial" w:hAnsi="Arial" w:cs="Arial"/>
              </w:rPr>
            </w:pPr>
            <w:r w:rsidRPr="00AE6C6F">
              <w:rPr>
                <w:rFonts w:ascii="Arial" w:hAnsi="Arial" w:cs="Arial"/>
              </w:rPr>
              <w:t>96.9%</w:t>
            </w:r>
          </w:p>
        </w:tc>
        <w:tc>
          <w:tcPr>
            <w:tcW w:w="1276" w:type="dxa"/>
          </w:tcPr>
          <w:p w14:paraId="4ABE6FCD" w14:textId="75067687" w:rsidR="00822B30" w:rsidRPr="00AE6C6F" w:rsidRDefault="00822B30" w:rsidP="00714F02">
            <w:pPr>
              <w:rPr>
                <w:rFonts w:ascii="Arial" w:hAnsi="Arial" w:cs="Arial"/>
              </w:rPr>
            </w:pPr>
            <w:r w:rsidRPr="00AE6C6F">
              <w:rPr>
                <w:rFonts w:ascii="Arial" w:hAnsi="Arial" w:cs="Arial"/>
              </w:rPr>
              <w:t>3.1%</w:t>
            </w:r>
          </w:p>
        </w:tc>
      </w:tr>
    </w:tbl>
    <w:p w14:paraId="4489834D" w14:textId="7753B724" w:rsidR="002B1316" w:rsidRPr="00FC5659" w:rsidRDefault="002B1316" w:rsidP="002B1316">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The Gender figures set out above have been calculated using the standard methodologies used in the Equality Act 2010 (Gender Pay Gap Information) Regulations 2017.</w:t>
      </w:r>
    </w:p>
    <w:p w14:paraId="6A7EE84D" w14:textId="77777777" w:rsidR="002B1316" w:rsidRPr="00FC5659" w:rsidRDefault="002B1316" w:rsidP="002B1316">
      <w:pPr>
        <w:spacing w:after="0" w:line="240" w:lineRule="auto"/>
        <w:rPr>
          <w:rFonts w:ascii="Arial" w:eastAsia="Times New Roman" w:hAnsi="Arial" w:cs="Arial"/>
          <w:lang w:eastAsia="en-GB"/>
        </w:rPr>
      </w:pPr>
      <w:r w:rsidRPr="00FC5659">
        <w:rPr>
          <w:rFonts w:ascii="Arial" w:eastAsia="Times New Roman" w:hAnsi="Arial" w:cs="Arial"/>
          <w:lang w:eastAsia="en-GB"/>
        </w:rPr>
        <w:t xml:space="preserve">In law, men and women must receive equal pay for the same or broadly similar work; </w:t>
      </w:r>
    </w:p>
    <w:p w14:paraId="21A2CF2E" w14:textId="77777777" w:rsidR="002B1316" w:rsidRPr="00FC5659" w:rsidRDefault="002B1316" w:rsidP="002B1316">
      <w:pPr>
        <w:numPr>
          <w:ilvl w:val="0"/>
          <w:numId w:val="2"/>
        </w:numPr>
        <w:spacing w:after="0" w:line="240" w:lineRule="auto"/>
        <w:rPr>
          <w:rFonts w:ascii="Arial" w:eastAsia="Times New Roman" w:hAnsi="Arial" w:cs="Arial"/>
          <w:lang w:eastAsia="en-GB"/>
        </w:rPr>
      </w:pPr>
      <w:r w:rsidRPr="00FC5659">
        <w:rPr>
          <w:rFonts w:ascii="Arial" w:eastAsia="Times New Roman" w:hAnsi="Arial" w:cs="Arial"/>
          <w:lang w:eastAsia="en-GB"/>
        </w:rPr>
        <w:t xml:space="preserve">work rated as equivalent under a job evaluation scheme; or </w:t>
      </w:r>
    </w:p>
    <w:p w14:paraId="7DF2DF30" w14:textId="77777777" w:rsidR="002B1316" w:rsidRPr="00FC5659" w:rsidRDefault="002B1316" w:rsidP="002B1316">
      <w:pPr>
        <w:numPr>
          <w:ilvl w:val="0"/>
          <w:numId w:val="2"/>
        </w:numPr>
        <w:spacing w:after="0" w:line="240" w:lineRule="auto"/>
        <w:rPr>
          <w:rFonts w:ascii="Arial" w:eastAsia="Times New Roman" w:hAnsi="Arial" w:cs="Arial"/>
          <w:lang w:eastAsia="en-GB"/>
        </w:rPr>
      </w:pPr>
      <w:r w:rsidRPr="00FC5659">
        <w:rPr>
          <w:rFonts w:ascii="Arial" w:eastAsia="Times New Roman" w:hAnsi="Arial" w:cs="Arial"/>
          <w:lang w:eastAsia="en-GB"/>
        </w:rPr>
        <w:t xml:space="preserve">work of equal value. </w:t>
      </w:r>
    </w:p>
    <w:p w14:paraId="69693F94" w14:textId="77777777" w:rsidR="002B1316" w:rsidRPr="00FC5659" w:rsidRDefault="002B1316" w:rsidP="002B1316">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 xml:space="preserve">Treloar Trust is committed to ensuring that all staff receive equal pay for equal work regardless of gender, disability or ethnicity. </w:t>
      </w:r>
    </w:p>
    <w:p w14:paraId="05B8F672" w14:textId="760249F6" w:rsidR="002B1316" w:rsidRPr="00FC5659" w:rsidRDefault="002B1316" w:rsidP="002B1316">
      <w:pPr>
        <w:spacing w:before="100" w:beforeAutospacing="1" w:after="100" w:afterAutospacing="1" w:line="240" w:lineRule="auto"/>
        <w:rPr>
          <w:rFonts w:ascii="Arial" w:eastAsia="Times New Roman" w:hAnsi="Arial" w:cs="Arial"/>
          <w:lang w:eastAsia="en-GB"/>
        </w:rPr>
      </w:pPr>
      <w:r w:rsidRPr="00FC5659">
        <w:rPr>
          <w:rFonts w:ascii="Arial" w:eastAsia="Times New Roman" w:hAnsi="Arial" w:cs="Arial"/>
          <w:lang w:eastAsia="en-GB"/>
        </w:rPr>
        <w:t>These figures are largely reflective of the overall make-up of our workforce on the snapshot date in April 202</w:t>
      </w:r>
      <w:r w:rsidR="00225E1F">
        <w:rPr>
          <w:rFonts w:ascii="Arial" w:eastAsia="Times New Roman" w:hAnsi="Arial" w:cs="Arial"/>
          <w:lang w:eastAsia="en-GB"/>
        </w:rPr>
        <w:t>4</w:t>
      </w:r>
      <w:r w:rsidRPr="00FC5659">
        <w:rPr>
          <w:rFonts w:ascii="Arial" w:eastAsia="Times New Roman" w:hAnsi="Arial" w:cs="Arial"/>
          <w:lang w:eastAsia="en-GB"/>
        </w:rPr>
        <w:t xml:space="preserve"> with </w:t>
      </w:r>
      <w:r w:rsidR="00225E1F">
        <w:rPr>
          <w:rFonts w:ascii="Arial" w:eastAsia="Times New Roman" w:hAnsi="Arial" w:cs="Arial"/>
          <w:lang w:eastAsia="en-GB"/>
        </w:rPr>
        <w:t>83.2</w:t>
      </w:r>
      <w:r w:rsidRPr="00FC5659">
        <w:rPr>
          <w:rFonts w:ascii="Arial" w:eastAsia="Times New Roman" w:hAnsi="Arial" w:cs="Arial"/>
          <w:lang w:eastAsia="en-GB"/>
        </w:rPr>
        <w:t xml:space="preserve">% of our workforce being female and </w:t>
      </w:r>
      <w:r w:rsidR="00225E1F">
        <w:rPr>
          <w:rFonts w:ascii="Arial" w:eastAsia="Times New Roman" w:hAnsi="Arial" w:cs="Arial"/>
          <w:lang w:eastAsia="en-GB"/>
        </w:rPr>
        <w:t>16.8</w:t>
      </w:r>
      <w:r w:rsidRPr="00FC5659">
        <w:rPr>
          <w:rFonts w:ascii="Arial" w:eastAsia="Times New Roman" w:hAnsi="Arial" w:cs="Arial"/>
          <w:lang w:eastAsia="en-GB"/>
        </w:rPr>
        <w:t xml:space="preserve">% male, which is also reflective of the sector.  </w:t>
      </w:r>
    </w:p>
    <w:p w14:paraId="23D3398D" w14:textId="035D990B" w:rsidR="002B1316" w:rsidRPr="00FC5659" w:rsidRDefault="002B1316" w:rsidP="002B1316">
      <w:pPr>
        <w:spacing w:before="100" w:beforeAutospacing="1" w:after="100" w:afterAutospacing="1" w:line="240" w:lineRule="auto"/>
        <w:rPr>
          <w:rFonts w:ascii="Arial" w:eastAsia="Times New Roman" w:hAnsi="Arial" w:cs="Arial"/>
          <w:lang w:eastAsia="en-GB"/>
        </w:rPr>
      </w:pPr>
      <w:r w:rsidRPr="00613327">
        <w:rPr>
          <w:rFonts w:ascii="Arial" w:eastAsia="Times New Roman" w:hAnsi="Arial" w:cs="Arial"/>
          <w:lang w:eastAsia="en-GB"/>
        </w:rPr>
        <w:t xml:space="preserve">The gender pay gap at Treloar’s has </w:t>
      </w:r>
      <w:r w:rsidR="00057E80" w:rsidRPr="00613327">
        <w:rPr>
          <w:rFonts w:ascii="Arial" w:eastAsia="Times New Roman" w:hAnsi="Arial" w:cs="Arial"/>
          <w:lang w:eastAsia="en-GB"/>
        </w:rPr>
        <w:t>decreased in the past year</w:t>
      </w:r>
      <w:r w:rsidR="00B840AC">
        <w:rPr>
          <w:rFonts w:ascii="Arial" w:eastAsia="Times New Roman" w:hAnsi="Arial" w:cs="Arial"/>
          <w:lang w:eastAsia="en-GB"/>
        </w:rPr>
        <w:t xml:space="preserve"> but is affected by a lack of diversity at the senior executive level</w:t>
      </w:r>
      <w:r w:rsidR="00057E80" w:rsidRPr="00613327">
        <w:rPr>
          <w:rFonts w:ascii="Arial" w:eastAsia="Times New Roman" w:hAnsi="Arial" w:cs="Arial"/>
          <w:lang w:eastAsia="en-GB"/>
        </w:rPr>
        <w:t xml:space="preserve">.  </w:t>
      </w:r>
      <w:r w:rsidRPr="00613327">
        <w:rPr>
          <w:rFonts w:ascii="Arial" w:eastAsia="Times New Roman" w:hAnsi="Arial" w:cs="Arial"/>
          <w:lang w:eastAsia="en-GB"/>
        </w:rPr>
        <w:t xml:space="preserve"> </w:t>
      </w:r>
      <w:r w:rsidR="00B840AC" w:rsidRPr="00613327">
        <w:rPr>
          <w:rFonts w:ascii="Arial" w:eastAsia="Times New Roman" w:hAnsi="Arial" w:cs="Arial"/>
          <w:lang w:eastAsia="en-GB"/>
        </w:rPr>
        <w:t>The figures also reflect that a high proportion of our workforce work flexibly.</w:t>
      </w:r>
      <w:r w:rsidR="00B840AC">
        <w:rPr>
          <w:rFonts w:ascii="Arial" w:eastAsia="Times New Roman" w:hAnsi="Arial" w:cs="Arial"/>
          <w:lang w:eastAsia="en-GB"/>
        </w:rPr>
        <w:t xml:space="preserve">  </w:t>
      </w:r>
      <w:r w:rsidR="00057E80" w:rsidRPr="00613327">
        <w:rPr>
          <w:rFonts w:ascii="Arial" w:hAnsi="Arial" w:cs="Arial"/>
        </w:rPr>
        <w:t>The number of men in the executive group has reduced during the past year and more females have joined the senior team which has redressed the gap slightly.</w:t>
      </w:r>
      <w:r w:rsidRPr="00613327">
        <w:rPr>
          <w:rFonts w:ascii="Arial" w:eastAsia="Times New Roman" w:hAnsi="Arial" w:cs="Arial"/>
          <w:lang w:eastAsia="en-GB"/>
        </w:rPr>
        <w:t xml:space="preserve">   </w:t>
      </w:r>
    </w:p>
    <w:p w14:paraId="79538A4B" w14:textId="2FE8CA23" w:rsidR="002B1316" w:rsidRPr="00AE6C6F" w:rsidRDefault="00774BB3" w:rsidP="002B1316">
      <w:pPr>
        <w:spacing w:before="100" w:beforeAutospacing="1" w:after="100" w:afterAutospacing="1" w:line="240" w:lineRule="auto"/>
        <w:rPr>
          <w:rFonts w:ascii="Arial" w:eastAsia="Times New Roman" w:hAnsi="Arial" w:cs="Arial"/>
          <w:lang w:eastAsia="en-GB"/>
        </w:rPr>
      </w:pPr>
      <w:r w:rsidRPr="00AE6C6F">
        <w:rPr>
          <w:rFonts w:ascii="Arial" w:eastAsia="Times New Roman" w:hAnsi="Arial" w:cs="Arial"/>
          <w:lang w:eastAsia="en-GB"/>
        </w:rPr>
        <w:t>6.2% of our staff have declared a disability (4.8% in 2023)</w:t>
      </w:r>
      <w:r w:rsidR="00DE58B2" w:rsidRPr="00AE6C6F">
        <w:rPr>
          <w:rFonts w:ascii="Arial" w:eastAsia="Times New Roman" w:hAnsi="Arial" w:cs="Arial"/>
          <w:lang w:eastAsia="en-GB"/>
        </w:rPr>
        <w:t xml:space="preserve"> representing 9.8% of those who have provide information</w:t>
      </w:r>
      <w:r w:rsidRPr="00AE6C6F">
        <w:rPr>
          <w:rFonts w:ascii="Arial" w:eastAsia="Times New Roman" w:hAnsi="Arial" w:cs="Arial"/>
          <w:lang w:eastAsia="en-GB"/>
        </w:rPr>
        <w:t xml:space="preserve">. </w:t>
      </w:r>
      <w:r w:rsidR="002B1316" w:rsidRPr="00AE6C6F">
        <w:rPr>
          <w:rFonts w:ascii="Arial" w:eastAsia="Times New Roman" w:hAnsi="Arial" w:cs="Arial"/>
          <w:lang w:eastAsia="en-GB"/>
        </w:rPr>
        <w:t>The disability pay gap</w:t>
      </w:r>
      <w:r w:rsidR="004F18A6" w:rsidRPr="00AE6C6F">
        <w:rPr>
          <w:rFonts w:ascii="Arial" w:eastAsia="Times New Roman" w:hAnsi="Arial" w:cs="Arial"/>
          <w:lang w:eastAsia="en-GB"/>
        </w:rPr>
        <w:t xml:space="preserve"> has reduced over the past year and is not material reflecting positive</w:t>
      </w:r>
      <w:r w:rsidR="00DE58B2" w:rsidRPr="00AE6C6F">
        <w:rPr>
          <w:rFonts w:ascii="Arial" w:eastAsia="Times New Roman" w:hAnsi="Arial" w:cs="Arial"/>
          <w:lang w:eastAsia="en-GB"/>
        </w:rPr>
        <w:t xml:space="preserve"> employment practice in this area.</w:t>
      </w:r>
    </w:p>
    <w:p w14:paraId="14ED68AB" w14:textId="40C0A965" w:rsidR="002B1316" w:rsidRPr="00AE6C6F" w:rsidRDefault="00774BB3" w:rsidP="002B1316">
      <w:pPr>
        <w:spacing w:before="100" w:beforeAutospacing="1" w:after="100" w:afterAutospacing="1" w:line="240" w:lineRule="auto"/>
        <w:rPr>
          <w:rFonts w:ascii="Arial" w:eastAsia="Times New Roman" w:hAnsi="Arial" w:cs="Arial"/>
          <w:lang w:eastAsia="en-GB"/>
        </w:rPr>
      </w:pPr>
      <w:r w:rsidRPr="00AE6C6F">
        <w:rPr>
          <w:rFonts w:ascii="Arial" w:eastAsia="Times New Roman" w:hAnsi="Arial" w:cs="Arial"/>
          <w:lang w:eastAsia="en-GB"/>
        </w:rPr>
        <w:t xml:space="preserve">9.9% have declared that they are from a minority ethnic group (7.4% in 2023). </w:t>
      </w:r>
      <w:r w:rsidR="002B1316" w:rsidRPr="00AE6C6F">
        <w:rPr>
          <w:rFonts w:ascii="Arial" w:eastAsia="Times New Roman" w:hAnsi="Arial" w:cs="Arial"/>
          <w:lang w:eastAsia="en-GB"/>
        </w:rPr>
        <w:t xml:space="preserve">The </w:t>
      </w:r>
      <w:r w:rsidR="00116872" w:rsidRPr="00AE6C6F">
        <w:rPr>
          <w:rFonts w:ascii="Arial" w:eastAsia="Times New Roman" w:hAnsi="Arial" w:cs="Arial"/>
          <w:lang w:eastAsia="en-GB"/>
        </w:rPr>
        <w:t xml:space="preserve">mean </w:t>
      </w:r>
      <w:r w:rsidR="002B1316" w:rsidRPr="00AE6C6F">
        <w:rPr>
          <w:rFonts w:ascii="Arial" w:eastAsia="Times New Roman" w:hAnsi="Arial" w:cs="Arial"/>
          <w:lang w:eastAsia="en-GB"/>
        </w:rPr>
        <w:t xml:space="preserve">ethnicity pay gap has </w:t>
      </w:r>
      <w:r w:rsidR="00B840AC" w:rsidRPr="00AE6C6F">
        <w:rPr>
          <w:rFonts w:ascii="Arial" w:eastAsia="Times New Roman" w:hAnsi="Arial" w:cs="Arial"/>
          <w:lang w:eastAsia="en-GB"/>
        </w:rPr>
        <w:t>increased</w:t>
      </w:r>
      <w:r w:rsidR="004F18A6" w:rsidRPr="00AE6C6F">
        <w:rPr>
          <w:rFonts w:ascii="Arial" w:eastAsia="Times New Roman" w:hAnsi="Arial" w:cs="Arial"/>
          <w:lang w:eastAsia="en-GB"/>
        </w:rPr>
        <w:t xml:space="preserve"> reflecting overseas recruitment to junior and hard to fill </w:t>
      </w:r>
      <w:r w:rsidRPr="00AE6C6F">
        <w:rPr>
          <w:rFonts w:ascii="Arial" w:eastAsia="Times New Roman" w:hAnsi="Arial" w:cs="Arial"/>
          <w:lang w:eastAsia="en-GB"/>
        </w:rPr>
        <w:t xml:space="preserve">care </w:t>
      </w:r>
      <w:r w:rsidR="004F18A6" w:rsidRPr="00AE6C6F">
        <w:rPr>
          <w:rFonts w:ascii="Arial" w:eastAsia="Times New Roman" w:hAnsi="Arial" w:cs="Arial"/>
          <w:lang w:eastAsia="en-GB"/>
        </w:rPr>
        <w:t>roles</w:t>
      </w:r>
      <w:r w:rsidR="00116872" w:rsidRPr="00AE6C6F">
        <w:rPr>
          <w:rFonts w:ascii="Arial" w:eastAsia="Times New Roman" w:hAnsi="Arial" w:cs="Arial"/>
          <w:lang w:eastAsia="en-GB"/>
        </w:rPr>
        <w:t>.</w:t>
      </w:r>
      <w:r w:rsidR="002B1316" w:rsidRPr="00AE6C6F">
        <w:rPr>
          <w:rFonts w:ascii="Arial" w:eastAsia="Times New Roman" w:hAnsi="Arial" w:cs="Arial"/>
          <w:lang w:eastAsia="en-GB"/>
        </w:rPr>
        <w:t xml:space="preserve">  </w:t>
      </w:r>
      <w:r w:rsidR="00613327" w:rsidRPr="00AE6C6F">
        <w:rPr>
          <w:rFonts w:ascii="Arial" w:eastAsia="Times New Roman" w:hAnsi="Arial" w:cs="Arial"/>
          <w:lang w:eastAsia="en-GB"/>
        </w:rPr>
        <w:t xml:space="preserve">Measures need to be taken as to how we can enable individuals </w:t>
      </w:r>
      <w:r w:rsidR="00B840AC" w:rsidRPr="00AE6C6F">
        <w:rPr>
          <w:rFonts w:ascii="Arial" w:eastAsia="Times New Roman" w:hAnsi="Arial" w:cs="Arial"/>
          <w:lang w:eastAsia="en-GB"/>
        </w:rPr>
        <w:t xml:space="preserve">whom we sponsor </w:t>
      </w:r>
      <w:r w:rsidR="00613327" w:rsidRPr="00AE6C6F">
        <w:rPr>
          <w:rFonts w:ascii="Arial" w:eastAsia="Times New Roman" w:hAnsi="Arial" w:cs="Arial"/>
          <w:lang w:eastAsia="en-GB"/>
        </w:rPr>
        <w:t>to progress within the visa restrictions</w:t>
      </w:r>
      <w:r w:rsidR="00116872" w:rsidRPr="00AE6C6F">
        <w:rPr>
          <w:rFonts w:ascii="Arial" w:eastAsia="Times New Roman" w:hAnsi="Arial" w:cs="Arial"/>
          <w:lang w:eastAsia="en-GB"/>
        </w:rPr>
        <w:t xml:space="preserve"> imposed</w:t>
      </w:r>
      <w:r w:rsidR="00B840AC" w:rsidRPr="00AE6C6F">
        <w:rPr>
          <w:rFonts w:ascii="Arial" w:eastAsia="Times New Roman" w:hAnsi="Arial" w:cs="Arial"/>
          <w:lang w:eastAsia="en-GB"/>
        </w:rPr>
        <w:t xml:space="preserve">.   </w:t>
      </w:r>
    </w:p>
    <w:p w14:paraId="72D520B0" w14:textId="77777777" w:rsidR="002B1316" w:rsidRPr="00AE6C6F" w:rsidRDefault="002B1316" w:rsidP="002B1316">
      <w:pPr>
        <w:spacing w:after="0" w:line="240" w:lineRule="auto"/>
        <w:rPr>
          <w:rFonts w:ascii="Arial" w:eastAsia="Times New Roman" w:hAnsi="Arial" w:cs="Arial"/>
          <w:b/>
          <w:lang w:eastAsia="en-GB"/>
        </w:rPr>
      </w:pPr>
      <w:r w:rsidRPr="00AE6C6F">
        <w:rPr>
          <w:rFonts w:ascii="Arial" w:eastAsia="Times New Roman" w:hAnsi="Arial" w:cs="Arial"/>
          <w:b/>
          <w:lang w:eastAsia="en-GB"/>
        </w:rPr>
        <w:t>Sandra Faulkner</w:t>
      </w:r>
    </w:p>
    <w:p w14:paraId="75540575" w14:textId="77777777" w:rsidR="002B1316" w:rsidRPr="00FC5659" w:rsidRDefault="002B1316" w:rsidP="002B1316">
      <w:pPr>
        <w:spacing w:after="0" w:line="240" w:lineRule="auto"/>
        <w:rPr>
          <w:rFonts w:ascii="Arial" w:eastAsia="Times New Roman" w:hAnsi="Arial" w:cs="Arial"/>
          <w:lang w:eastAsia="en-GB"/>
        </w:rPr>
      </w:pPr>
      <w:r w:rsidRPr="00FC5659">
        <w:rPr>
          <w:rFonts w:ascii="Arial" w:eastAsia="Times New Roman" w:hAnsi="Arial" w:cs="Arial"/>
          <w:lang w:eastAsia="en-GB"/>
        </w:rPr>
        <w:t>Human Resources</w:t>
      </w:r>
    </w:p>
    <w:p w14:paraId="33624DB8" w14:textId="77777777" w:rsidR="002B1316" w:rsidRPr="00FC5659" w:rsidRDefault="002B1316" w:rsidP="002B1316">
      <w:pPr>
        <w:spacing w:after="0" w:line="240" w:lineRule="auto"/>
        <w:contextualSpacing/>
        <w:rPr>
          <w:rFonts w:ascii="Arial" w:eastAsia="Times New Roman" w:hAnsi="Arial" w:cs="Arial"/>
          <w:lang w:eastAsia="en-GB"/>
        </w:rPr>
      </w:pPr>
      <w:r w:rsidRPr="00FC5659">
        <w:rPr>
          <w:rFonts w:ascii="Arial" w:eastAsia="Times New Roman" w:hAnsi="Arial" w:cs="Arial"/>
          <w:lang w:eastAsia="en-GB"/>
        </w:rPr>
        <w:t>Treloar Trust</w:t>
      </w:r>
    </w:p>
    <w:p w14:paraId="5D4C5B31" w14:textId="53E478A8" w:rsidR="002B1316" w:rsidRPr="00FC5659" w:rsidRDefault="00EB5258" w:rsidP="002B1316">
      <w:pPr>
        <w:spacing w:after="0" w:line="240" w:lineRule="auto"/>
        <w:contextualSpacing/>
        <w:rPr>
          <w:rFonts w:ascii="Arial" w:eastAsia="Times New Roman" w:hAnsi="Arial" w:cs="Arial"/>
          <w:lang w:eastAsia="en-GB"/>
        </w:rPr>
      </w:pPr>
      <w:r>
        <w:rPr>
          <w:rFonts w:ascii="Arial" w:eastAsia="Times New Roman" w:hAnsi="Arial" w:cs="Arial"/>
          <w:lang w:eastAsia="en-GB"/>
        </w:rPr>
        <w:t>January 2025</w:t>
      </w:r>
    </w:p>
    <w:tbl>
      <w:tblPr>
        <w:tblpPr w:leftFromText="180" w:rightFromText="180" w:vertAnchor="text" w:tblpY="1"/>
        <w:tblOverlap w:val="never"/>
        <w:tblW w:w="0" w:type="auto"/>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366"/>
      </w:tblGrid>
      <w:tr w:rsidR="002B1316" w:rsidRPr="00FC5659" w14:paraId="77F1AD95" w14:textId="77777777" w:rsidTr="00C81B89">
        <w:trPr>
          <w:tblHeader/>
        </w:trPr>
        <w:tc>
          <w:tcPr>
            <w:tcW w:w="0" w:type="auto"/>
            <w:tcBorders>
              <w:top w:val="nil"/>
              <w:left w:val="nil"/>
              <w:bottom w:val="nil"/>
              <w:right w:val="nil"/>
            </w:tcBorders>
            <w:tcMar>
              <w:top w:w="180" w:type="dxa"/>
              <w:left w:w="180" w:type="dxa"/>
              <w:bottom w:w="180" w:type="dxa"/>
              <w:right w:w="180" w:type="dxa"/>
            </w:tcMar>
            <w:vAlign w:val="center"/>
          </w:tcPr>
          <w:p w14:paraId="55534E5A" w14:textId="77777777" w:rsidR="002B1316" w:rsidRPr="00FC5659" w:rsidRDefault="002B1316" w:rsidP="00C81B89">
            <w:pPr>
              <w:spacing w:after="0" w:line="240" w:lineRule="auto"/>
              <w:jc w:val="center"/>
              <w:rPr>
                <w:rFonts w:ascii="Arial" w:eastAsia="Times New Roman" w:hAnsi="Arial" w:cs="Arial"/>
                <w:lang w:eastAsia="en-GB"/>
              </w:rPr>
            </w:pPr>
          </w:p>
        </w:tc>
      </w:tr>
    </w:tbl>
    <w:p w14:paraId="0D9D13A2" w14:textId="77777777" w:rsidR="002B1316" w:rsidRPr="00FC5659" w:rsidRDefault="002B1316" w:rsidP="002B1316">
      <w:pPr>
        <w:spacing w:before="100" w:beforeAutospacing="1" w:after="0" w:line="240" w:lineRule="auto"/>
        <w:contextualSpacing/>
        <w:rPr>
          <w:rFonts w:ascii="Arial" w:hAnsi="Arial" w:cs="Arial"/>
        </w:rPr>
      </w:pPr>
    </w:p>
    <w:p w14:paraId="5E06F3E8" w14:textId="77777777" w:rsidR="002B1316" w:rsidRPr="00FC5659" w:rsidRDefault="002B1316" w:rsidP="002B1316">
      <w:pPr>
        <w:rPr>
          <w:rFonts w:ascii="Arial" w:hAnsi="Arial" w:cs="Arial"/>
        </w:rPr>
      </w:pPr>
    </w:p>
    <w:p w14:paraId="4189D9FC" w14:textId="77777777" w:rsidR="002B1316" w:rsidRDefault="002B1316"/>
    <w:sectPr w:rsidR="002B13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4244" w14:textId="77777777" w:rsidR="00FE19A9" w:rsidRDefault="00EB5258">
      <w:pPr>
        <w:spacing w:after="0" w:line="240" w:lineRule="auto"/>
      </w:pPr>
      <w:r>
        <w:separator/>
      </w:r>
    </w:p>
  </w:endnote>
  <w:endnote w:type="continuationSeparator" w:id="0">
    <w:p w14:paraId="2B341627" w14:textId="77777777" w:rsidR="00FE19A9" w:rsidRDefault="00EB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5AAF" w14:textId="77777777" w:rsidR="00FE19A9" w:rsidRDefault="00EB5258">
      <w:pPr>
        <w:spacing w:after="0" w:line="240" w:lineRule="auto"/>
      </w:pPr>
      <w:r>
        <w:separator/>
      </w:r>
    </w:p>
  </w:footnote>
  <w:footnote w:type="continuationSeparator" w:id="0">
    <w:p w14:paraId="65AD9EE5" w14:textId="77777777" w:rsidR="00FE19A9" w:rsidRDefault="00EB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51D" w14:textId="77777777" w:rsidR="00FC5659" w:rsidRDefault="00225E1F">
    <w:pPr>
      <w:pStyle w:val="Header"/>
    </w:pPr>
    <w:r>
      <w:rPr>
        <w:noProof/>
      </w:rPr>
      <w:drawing>
        <wp:anchor distT="0" distB="0" distL="114300" distR="114300" simplePos="0" relativeHeight="251659264" behindDoc="1" locked="0" layoutInCell="1" allowOverlap="1" wp14:anchorId="6682F486" wp14:editId="48EBB3C9">
          <wp:simplePos x="0" y="0"/>
          <wp:positionH relativeFrom="margin">
            <wp:align>right</wp:align>
          </wp:positionH>
          <wp:positionV relativeFrom="paragraph">
            <wp:posOffset>75565</wp:posOffset>
          </wp:positionV>
          <wp:extent cx="158940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9405" cy="352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AE2"/>
    <w:multiLevelType w:val="hybridMultilevel"/>
    <w:tmpl w:val="C49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36B15"/>
    <w:multiLevelType w:val="multilevel"/>
    <w:tmpl w:val="A8C4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6"/>
    <w:rsid w:val="00057E80"/>
    <w:rsid w:val="00060CB4"/>
    <w:rsid w:val="000627D4"/>
    <w:rsid w:val="00086CF2"/>
    <w:rsid w:val="000B6E9B"/>
    <w:rsid w:val="000F0A9B"/>
    <w:rsid w:val="000F2C3F"/>
    <w:rsid w:val="00116872"/>
    <w:rsid w:val="00225E1F"/>
    <w:rsid w:val="002B1316"/>
    <w:rsid w:val="00407B49"/>
    <w:rsid w:val="0044260C"/>
    <w:rsid w:val="004F18A6"/>
    <w:rsid w:val="00613327"/>
    <w:rsid w:val="00774BB3"/>
    <w:rsid w:val="00822B30"/>
    <w:rsid w:val="00915F54"/>
    <w:rsid w:val="009579DA"/>
    <w:rsid w:val="00A54442"/>
    <w:rsid w:val="00AC6EDD"/>
    <w:rsid w:val="00AD5B1E"/>
    <w:rsid w:val="00AE6C6F"/>
    <w:rsid w:val="00B0535A"/>
    <w:rsid w:val="00B840AC"/>
    <w:rsid w:val="00C95A46"/>
    <w:rsid w:val="00D86005"/>
    <w:rsid w:val="00DE58B2"/>
    <w:rsid w:val="00EB5258"/>
    <w:rsid w:val="00F74921"/>
    <w:rsid w:val="00F81230"/>
    <w:rsid w:val="00FE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985D"/>
  <w15:chartTrackingRefBased/>
  <w15:docId w15:val="{F0B2A50B-0CE9-4114-B174-62D6B74D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16"/>
    <w:pPr>
      <w:spacing w:after="200" w:line="276" w:lineRule="auto"/>
      <w:ind w:left="720"/>
      <w:contextualSpacing/>
    </w:pPr>
  </w:style>
  <w:style w:type="table" w:styleId="TableGrid">
    <w:name w:val="Table Grid"/>
    <w:basedOn w:val="TableNormal"/>
    <w:uiPriority w:val="59"/>
    <w:rsid w:val="002B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Faulkner, Sandra</dc:creator>
  <cp:keywords/>
  <dc:description/>
  <cp:lastModifiedBy>Moore, Helen</cp:lastModifiedBy>
  <cp:revision>2</cp:revision>
  <dcterms:created xsi:type="dcterms:W3CDTF">2025-02-12T16:17:00Z</dcterms:created>
  <dcterms:modified xsi:type="dcterms:W3CDTF">2025-02-12T16:17:00Z</dcterms:modified>
</cp:coreProperties>
</file>